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3270C0D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5F2E88">
            <w:rPr>
              <w:rFonts w:ascii="Arial" w:hAnsi="Arial" w:cs="Arial"/>
              <w:b/>
              <w:sz w:val="24"/>
            </w:rPr>
            <w:t>RAN1 #88</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A8057E">
            <w:rPr>
              <w:rFonts w:ascii="Arial" w:hAnsi="Arial" w:cs="Arial"/>
              <w:b/>
              <w:sz w:val="24"/>
            </w:rPr>
            <w:t>R1-1702181</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77777777" w:rsidR="00425159" w:rsidRPr="00425159" w:rsidRDefault="007617A9" w:rsidP="00425159">
          <w:pPr>
            <w:spacing w:after="0"/>
            <w:ind w:left="1988" w:hanging="1988"/>
            <w:jc w:val="both"/>
            <w:rPr>
              <w:rFonts w:ascii="Arial" w:hAnsi="Arial" w:cs="Arial"/>
              <w:b/>
              <w:sz w:val="24"/>
            </w:rPr>
          </w:pPr>
          <w:r>
            <w:rPr>
              <w:rFonts w:ascii="Arial" w:hAnsi="Arial" w:cs="Arial"/>
              <w:b/>
              <w:sz w:val="24"/>
            </w:rPr>
            <w:t>Athens, Greece 13th - 17th February 2017</w:t>
          </w:r>
        </w:p>
      </w:sdtContent>
    </w:sdt>
    <w:p w14:paraId="1F200DDF"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BC0EC78"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5F2E88">
            <w:rPr>
              <w:rFonts w:ascii="Arial" w:hAnsi="Arial" w:cs="Arial"/>
              <w:b/>
              <w:sz w:val="24"/>
            </w:rPr>
            <w:t>NR PBCH Structure</w:t>
          </w:r>
        </w:sdtContent>
      </w:sdt>
    </w:p>
    <w:p w14:paraId="233C83DF" w14:textId="77777777"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8E55DC75492444FE9F5684E6DFBCFF25"/>
          </w:placeholder>
          <w:dataBinding w:prefixMappings="xmlns:ns0='http://purl.org/dc/elements/1.1/' xmlns:ns1='http://schemas.openxmlformats.org/package/2006/metadata/core-properties' " w:xpath="/ns1:coreProperties[1]/ns1:keywords[1]" w:storeItemID="{6C3C8BC8-F283-45AE-878A-BAB7291924A1}"/>
          <w:text/>
        </w:sdtPr>
        <w:sdtEndPr/>
        <w:sdtContent>
          <w:r w:rsidR="005F2E88">
            <w:rPr>
              <w:rFonts w:ascii="Arial" w:hAnsi="Arial" w:cs="Arial"/>
              <w:b/>
              <w:sz w:val="24"/>
            </w:rPr>
            <w:t>8.1.1.2.1</w:t>
          </w:r>
        </w:sdtContent>
      </w:sdt>
    </w:p>
    <w:p w14:paraId="639BD867"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6CC9D1D0" w14:textId="77777777" w:rsidR="00EA6506" w:rsidRPr="009A37AC" w:rsidRDefault="00EA6506" w:rsidP="00EA6506">
      <w:pPr>
        <w:spacing w:after="0"/>
        <w:ind w:left="2388" w:hangingChars="995" w:hanging="2388"/>
        <w:jc w:val="both"/>
        <w:rPr>
          <w:sz w:val="24"/>
        </w:rPr>
      </w:pPr>
    </w:p>
    <w:p w14:paraId="15831612" w14:textId="77777777" w:rsidR="00A72C6C" w:rsidRPr="006969BE" w:rsidRDefault="00A72C6C" w:rsidP="00A72C6C">
      <w:pPr>
        <w:pStyle w:val="Heading1"/>
        <w:numPr>
          <w:ilvl w:val="0"/>
          <w:numId w:val="16"/>
        </w:numPr>
        <w:ind w:left="360"/>
        <w:rPr>
          <w:rFonts w:cs="Arial"/>
          <w:sz w:val="32"/>
          <w:szCs w:val="32"/>
          <w:lang w:val="en-US"/>
        </w:rPr>
      </w:pPr>
      <w:r w:rsidRPr="006969BE">
        <w:rPr>
          <w:rFonts w:cs="Arial"/>
          <w:sz w:val="32"/>
          <w:szCs w:val="32"/>
          <w:lang w:val="en-US"/>
        </w:rPr>
        <w:t>Introduction</w:t>
      </w:r>
    </w:p>
    <w:p w14:paraId="60F26D9B" w14:textId="77777777" w:rsidR="000E514C" w:rsidRDefault="00A72C6C" w:rsidP="00DC1451">
      <w:pPr>
        <w:pStyle w:val="BodyText"/>
        <w:spacing w:before="240"/>
        <w:ind w:firstLine="288"/>
        <w:jc w:val="left"/>
        <w:rPr>
          <w:lang w:eastAsia="zh-CN"/>
        </w:rPr>
      </w:pPr>
      <w:r w:rsidRPr="006969BE">
        <w:rPr>
          <w:lang w:eastAsia="zh-CN"/>
        </w:rPr>
        <w:t xml:space="preserve">In this contribution, we discuss design aspects of </w:t>
      </w:r>
      <w:r w:rsidR="00760AF5">
        <w:rPr>
          <w:lang w:eastAsia="zh-CN"/>
        </w:rPr>
        <w:t>physical</w:t>
      </w:r>
      <w:r w:rsidR="000E514C">
        <w:rPr>
          <w:lang w:eastAsia="zh-CN"/>
        </w:rPr>
        <w:t xml:space="preserve"> broadcast channel (PBCH). More specifically, we focus on the subcarrier spacing and multiplexing aspects of PBCH with other data/control channels, payload size, </w:t>
      </w:r>
      <w:r w:rsidR="006B6D1E">
        <w:rPr>
          <w:lang w:eastAsia="zh-CN"/>
        </w:rPr>
        <w:t>potential</w:t>
      </w:r>
      <w:r w:rsidR="000E514C">
        <w:rPr>
          <w:lang w:eastAsia="zh-CN"/>
        </w:rPr>
        <w:t xml:space="preserve"> content, and antenna port configurations for PBCH.</w:t>
      </w:r>
    </w:p>
    <w:p w14:paraId="0B1D77F9" w14:textId="77777777" w:rsidR="00985A01" w:rsidRDefault="00985A01" w:rsidP="00DC1451">
      <w:pPr>
        <w:pStyle w:val="BodyText"/>
        <w:spacing w:before="240"/>
        <w:ind w:firstLine="288"/>
        <w:jc w:val="left"/>
        <w:rPr>
          <w:lang w:eastAsia="zh-CN"/>
        </w:rPr>
      </w:pPr>
    </w:p>
    <w:p w14:paraId="54BEB65C" w14:textId="3B116A5C" w:rsidR="00985A01" w:rsidRPr="006969BE" w:rsidRDefault="00985A01" w:rsidP="00985A01">
      <w:pPr>
        <w:pStyle w:val="Heading1"/>
        <w:numPr>
          <w:ilvl w:val="0"/>
          <w:numId w:val="16"/>
        </w:numPr>
        <w:ind w:left="360"/>
        <w:rPr>
          <w:rFonts w:cs="Arial"/>
          <w:sz w:val="32"/>
          <w:szCs w:val="32"/>
          <w:lang w:val="en-US"/>
        </w:rPr>
      </w:pPr>
      <w:r>
        <w:rPr>
          <w:rFonts w:cs="Arial"/>
          <w:sz w:val="32"/>
          <w:szCs w:val="32"/>
          <w:lang w:val="en-US"/>
        </w:rPr>
        <w:t>Payload Size and Content</w:t>
      </w:r>
    </w:p>
    <w:p w14:paraId="3366CE99" w14:textId="77777777" w:rsidR="00985A01" w:rsidRPr="00DE19F9" w:rsidRDefault="00985A01" w:rsidP="00985A01">
      <w:pPr>
        <w:pStyle w:val="BodyText"/>
        <w:spacing w:before="240"/>
        <w:jc w:val="left"/>
        <w:rPr>
          <w:b/>
          <w:i/>
          <w:lang w:eastAsia="zh-CN"/>
        </w:rPr>
      </w:pPr>
      <w:r w:rsidRPr="00DE19F9">
        <w:rPr>
          <w:b/>
          <w:i/>
          <w:lang w:eastAsia="zh-CN"/>
        </w:rPr>
        <w:t>SFN</w:t>
      </w:r>
    </w:p>
    <w:p w14:paraId="0A10A1FF" w14:textId="77777777" w:rsidR="00985A01" w:rsidRDefault="00985A01" w:rsidP="00985A01">
      <w:pPr>
        <w:pStyle w:val="BodyText"/>
        <w:spacing w:before="240"/>
        <w:ind w:firstLine="288"/>
        <w:jc w:val="left"/>
        <w:rPr>
          <w:lang w:eastAsia="zh-CN"/>
        </w:rPr>
      </w:pPr>
      <w:r>
        <w:rPr>
          <w:lang w:eastAsia="zh-CN"/>
        </w:rPr>
        <w:t>System frame number (SFN) is used in several aspects of PHY/MAC layer in LTE. Most notable uses are to derive the timing relationship of additional system information (including SIB1), HARQ process, DRX, SPS, and measurement gap. So PBCH design should take into account the potential bitwidth of SFN.</w:t>
      </w:r>
    </w:p>
    <w:p w14:paraId="3B236205" w14:textId="77777777" w:rsidR="00985A01" w:rsidRDefault="00985A01" w:rsidP="00985A01">
      <w:pPr>
        <w:pStyle w:val="BodyText"/>
        <w:spacing w:before="240"/>
        <w:ind w:firstLine="288"/>
        <w:jc w:val="left"/>
        <w:rPr>
          <w:lang w:eastAsia="zh-CN"/>
        </w:rPr>
      </w:pPr>
      <w:r>
        <w:rPr>
          <w:lang w:eastAsia="zh-CN"/>
        </w:rPr>
        <w:t xml:space="preserve">One aspect of SFN that needs to be consider is the supported wrap around time of SFN. The wider subcarrier spacing of the data/control signals and fixed slot length (agreement from RAN1 #86bis), may require larger bit width of SFN compared to LTE </w:t>
      </w:r>
      <w:bookmarkStart w:id="0" w:name="_GoBack"/>
      <w:bookmarkEnd w:id="0"/>
      <w:r>
        <w:rPr>
          <w:lang w:eastAsia="zh-CN"/>
        </w:rPr>
        <w:t>to provide the same SFN wrap around time. This depends on the definition of a “radio frame” and “system frame” for NR. If the system frame is defined to be equivalent to radio frame, as in LTE, and radio frame is defined as 10 slots, as in LTE, the number of slots within 10 ms time duration changes as a function of subcarrier spacing. For example, system that uses 120 kHz would have 80 radio frames in the 10 ms time duration. This will cycle through SFN wrap around duration 8 times faster.</w:t>
      </w:r>
    </w:p>
    <w:p w14:paraId="57741E00" w14:textId="77777777" w:rsidR="00985A01" w:rsidRDefault="00985A01" w:rsidP="00985A01">
      <w:pPr>
        <w:pStyle w:val="BodyText"/>
        <w:spacing w:before="240"/>
        <w:ind w:firstLine="288"/>
        <w:jc w:val="left"/>
        <w:rPr>
          <w:lang w:eastAsia="zh-CN"/>
        </w:rPr>
      </w:pPr>
      <w:r>
        <w:rPr>
          <w:lang w:eastAsia="zh-CN"/>
        </w:rPr>
        <w:t xml:space="preserve">Furthermore, any DRX operations for NR will likely to be impacted by the wrap around time of the NR SFN.  In fact, the recent LS from RAN2 </w:t>
      </w:r>
      <w:r>
        <w:rPr>
          <w:lang w:eastAsia="zh-CN"/>
        </w:rPr>
        <w:fldChar w:fldCharType="begin"/>
      </w:r>
      <w:r>
        <w:rPr>
          <w:lang w:eastAsia="zh-CN"/>
        </w:rPr>
        <w:instrText xml:space="preserve"> REF _Ref474145362 \r \h </w:instrText>
      </w:r>
      <w:r>
        <w:rPr>
          <w:lang w:eastAsia="zh-CN"/>
        </w:rPr>
      </w:r>
      <w:r>
        <w:rPr>
          <w:lang w:eastAsia="zh-CN"/>
        </w:rPr>
        <w:fldChar w:fldCharType="separate"/>
      </w:r>
      <w:r>
        <w:rPr>
          <w:lang w:eastAsia="zh-CN"/>
        </w:rPr>
        <w:t>[1]</w:t>
      </w:r>
      <w:r>
        <w:rPr>
          <w:lang w:eastAsia="zh-CN"/>
        </w:rPr>
        <w:fldChar w:fldCharType="end"/>
      </w:r>
      <w:r>
        <w:rPr>
          <w:lang w:eastAsia="zh-CN"/>
        </w:rPr>
        <w:t>, states that if NR considers SFN and HSFN (used for eDRX operations), the total number of bits required for SFN would be 18 bits.</w:t>
      </w:r>
    </w:p>
    <w:p w14:paraId="1CAFCB15" w14:textId="77777777" w:rsidR="00985A01" w:rsidRPr="00DE19F9" w:rsidRDefault="00985A01" w:rsidP="00985A01">
      <w:pPr>
        <w:pStyle w:val="BodyText"/>
        <w:spacing w:before="240"/>
        <w:jc w:val="left"/>
        <w:rPr>
          <w:b/>
          <w:i/>
          <w:lang w:eastAsia="zh-CN"/>
        </w:rPr>
      </w:pPr>
      <w:r>
        <w:rPr>
          <w:b/>
          <w:i/>
          <w:lang w:eastAsia="zh-CN"/>
        </w:rPr>
        <w:t>Implicit Mapping of SFN</w:t>
      </w:r>
    </w:p>
    <w:p w14:paraId="1F0E9961" w14:textId="77777777" w:rsidR="00985A01" w:rsidRDefault="00985A01" w:rsidP="00985A01">
      <w:pPr>
        <w:pStyle w:val="BodyText"/>
        <w:spacing w:before="240"/>
        <w:ind w:firstLine="288"/>
        <w:jc w:val="left"/>
        <w:rPr>
          <w:lang w:eastAsia="zh-CN"/>
        </w:rPr>
      </w:pPr>
      <w:r>
        <w:rPr>
          <w:lang w:eastAsia="zh-CN"/>
        </w:rPr>
        <w:t>In order to reduce the size of SFN carried in PBCH, LTE systems has considered implicit mapping of the 2 LSB bits of SFN into the redundancy version of PBCH. This technique is useful when coverage of PBCH is so large that single transmission instance isn’t enough to provide low code-rate. The different instances of PBCH are sent using different redundancy versions such that UE can perform combining of multiple instances for improving decoding performance. It should be noted that this gain does not come for free, and is at the cost of additional complexity at the UE side.</w:t>
      </w:r>
    </w:p>
    <w:p w14:paraId="0E1EF349" w14:textId="77777777" w:rsidR="00985A01" w:rsidRPr="00DE19F9" w:rsidRDefault="00985A01" w:rsidP="00985A01">
      <w:pPr>
        <w:pStyle w:val="BodyText"/>
        <w:spacing w:before="240"/>
        <w:jc w:val="left"/>
        <w:rPr>
          <w:b/>
          <w:i/>
          <w:lang w:eastAsia="zh-CN"/>
        </w:rPr>
      </w:pPr>
      <w:r w:rsidRPr="00DE19F9">
        <w:rPr>
          <w:b/>
          <w:i/>
          <w:lang w:eastAsia="zh-CN"/>
        </w:rPr>
        <w:t>CRC</w:t>
      </w:r>
    </w:p>
    <w:p w14:paraId="5467F137" w14:textId="77777777" w:rsidR="00985A01" w:rsidRDefault="00985A01" w:rsidP="00985A01">
      <w:pPr>
        <w:pStyle w:val="BodyText"/>
        <w:spacing w:before="240"/>
        <w:ind w:firstLine="288"/>
        <w:jc w:val="left"/>
        <w:rPr>
          <w:lang w:eastAsia="zh-CN"/>
        </w:rPr>
      </w:pPr>
      <w:r>
        <w:rPr>
          <w:lang w:eastAsia="zh-CN"/>
        </w:rPr>
        <w:t>Additional aspect that impacts PBCH payload size is CRC. The CRC bitwidth is determined to meets the miss-detection, and false alarm probabilities required for the system. Overloading of information on top of CRC, such as number of antenna port indication scrambling in LTE, may cause the miss-detection and false alarm probabilities of the CRC to change. Therefore, careful analysis and comparison of different CRC bit widths and required miss-detection and false alarm probabilities should be conducted for NR. If we consider similar miss-detection and false alarm probability as LTE, it would mean NR would require 16 bits of CRC. We believe this is good baseline for evaluations for PBCH.</w:t>
      </w:r>
    </w:p>
    <w:p w14:paraId="329D9F93" w14:textId="2B723804" w:rsidR="00985A01" w:rsidRPr="00DE19F9" w:rsidRDefault="00985A01" w:rsidP="00985A01">
      <w:pPr>
        <w:pStyle w:val="BodyText"/>
        <w:spacing w:before="240"/>
        <w:jc w:val="left"/>
        <w:rPr>
          <w:b/>
          <w:i/>
          <w:lang w:eastAsia="zh-CN"/>
        </w:rPr>
      </w:pPr>
      <w:r w:rsidRPr="00DE19F9">
        <w:rPr>
          <w:b/>
          <w:i/>
          <w:lang w:eastAsia="zh-CN"/>
        </w:rPr>
        <w:lastRenderedPageBreak/>
        <w:t>Proposa</w:t>
      </w:r>
      <w:r>
        <w:rPr>
          <w:b/>
          <w:i/>
          <w:lang w:eastAsia="zh-CN"/>
        </w:rPr>
        <w:t>l 1</w:t>
      </w:r>
      <w:r w:rsidRPr="00DE19F9">
        <w:rPr>
          <w:b/>
          <w:i/>
          <w:lang w:eastAsia="zh-CN"/>
        </w:rPr>
        <w:t>:</w:t>
      </w:r>
    </w:p>
    <w:p w14:paraId="63FFA703" w14:textId="77777777" w:rsidR="00985A01" w:rsidRPr="00DE19F9" w:rsidRDefault="00985A01" w:rsidP="00985A01">
      <w:pPr>
        <w:pStyle w:val="BodyText"/>
        <w:numPr>
          <w:ilvl w:val="0"/>
          <w:numId w:val="21"/>
        </w:numPr>
        <w:spacing w:before="240"/>
        <w:jc w:val="left"/>
        <w:rPr>
          <w:i/>
          <w:lang w:eastAsia="zh-CN"/>
        </w:rPr>
      </w:pPr>
      <w:r>
        <w:rPr>
          <w:i/>
          <w:lang w:eastAsia="zh-CN"/>
        </w:rPr>
        <w:t>For performance evaluations, use 16 bit CRC as baseline assumption.</w:t>
      </w:r>
    </w:p>
    <w:p w14:paraId="22867A94" w14:textId="77777777" w:rsidR="006559A0" w:rsidRDefault="006559A0" w:rsidP="00DC1451">
      <w:pPr>
        <w:pStyle w:val="BodyText"/>
        <w:spacing w:before="240"/>
        <w:ind w:firstLine="288"/>
        <w:jc w:val="left"/>
        <w:rPr>
          <w:lang w:eastAsia="zh-CN"/>
        </w:rPr>
      </w:pPr>
    </w:p>
    <w:p w14:paraId="3C99EE1D" w14:textId="70AB080E" w:rsidR="006559A0" w:rsidRPr="006969BE" w:rsidRDefault="006559A0" w:rsidP="006559A0">
      <w:pPr>
        <w:pStyle w:val="Heading1"/>
        <w:numPr>
          <w:ilvl w:val="0"/>
          <w:numId w:val="16"/>
        </w:numPr>
        <w:ind w:left="360"/>
        <w:rPr>
          <w:rFonts w:cs="Arial"/>
          <w:sz w:val="32"/>
          <w:szCs w:val="32"/>
          <w:lang w:val="en-US"/>
        </w:rPr>
      </w:pPr>
      <w:r w:rsidRPr="006969BE">
        <w:rPr>
          <w:rFonts w:cs="Arial"/>
          <w:sz w:val="32"/>
          <w:szCs w:val="32"/>
          <w:lang w:val="en-US"/>
        </w:rPr>
        <w:t xml:space="preserve">Antenna Ports </w:t>
      </w:r>
      <w:r w:rsidR="002D0446">
        <w:rPr>
          <w:rFonts w:cs="Arial"/>
          <w:sz w:val="32"/>
          <w:szCs w:val="32"/>
          <w:lang w:val="en-US"/>
        </w:rPr>
        <w:t>&amp; Transmit Diversity Scheme</w:t>
      </w:r>
    </w:p>
    <w:p w14:paraId="4B29E798" w14:textId="77777777" w:rsidR="006559A0" w:rsidRDefault="006559A0" w:rsidP="006559A0">
      <w:pPr>
        <w:keepNext/>
        <w:rPr>
          <w:rFonts w:eastAsia="MS Mincho"/>
          <w:lang w:eastAsia="ja-JP"/>
        </w:rPr>
      </w:pPr>
      <w:r>
        <w:rPr>
          <w:rFonts w:eastAsia="MS Mincho"/>
          <w:lang w:eastAsia="ja-JP"/>
        </w:rPr>
        <w:t>In NR Ad-hoc #1 meeting, the following were agreed for PBCH.</w:t>
      </w:r>
    </w:p>
    <w:p w14:paraId="21A6A28A" w14:textId="77777777" w:rsidR="006559A0" w:rsidRPr="00FE3B25" w:rsidRDefault="006559A0" w:rsidP="006559A0">
      <w:pPr>
        <w:numPr>
          <w:ilvl w:val="0"/>
          <w:numId w:val="22"/>
        </w:numPr>
        <w:overflowPunct/>
        <w:autoSpaceDE/>
        <w:autoSpaceDN/>
        <w:adjustRightInd/>
        <w:spacing w:after="0"/>
        <w:textAlignment w:val="auto"/>
        <w:rPr>
          <w:rFonts w:eastAsia="MS Mincho"/>
          <w:lang w:eastAsia="ja-JP"/>
        </w:rPr>
      </w:pPr>
      <w:r>
        <w:rPr>
          <w:rFonts w:eastAsia="MS Mincho"/>
          <w:lang w:eastAsia="ja-JP"/>
        </w:rPr>
        <w:t>No blind detection of NR-PBCH transmission scheme or number of antenna ports is required by the UE</w:t>
      </w:r>
    </w:p>
    <w:p w14:paraId="10B64654" w14:textId="77777777" w:rsidR="006559A0" w:rsidRPr="0006055C" w:rsidRDefault="006559A0" w:rsidP="006559A0">
      <w:pPr>
        <w:numPr>
          <w:ilvl w:val="0"/>
          <w:numId w:val="22"/>
        </w:numPr>
        <w:overflowPunct/>
        <w:autoSpaceDE/>
        <w:autoSpaceDN/>
        <w:adjustRightInd/>
        <w:spacing w:after="0"/>
        <w:textAlignment w:val="auto"/>
        <w:rPr>
          <w:rFonts w:eastAsia="MS Mincho"/>
          <w:lang w:eastAsia="ja-JP"/>
        </w:rPr>
      </w:pPr>
      <w:r w:rsidRPr="00A22114">
        <w:rPr>
          <w:rFonts w:eastAsia="MS Mincho" w:hint="eastAsia"/>
          <w:lang w:eastAsia="ja-JP"/>
        </w:rPr>
        <w:t xml:space="preserve">For NR-PBCH transmission, </w:t>
      </w:r>
      <w:r>
        <w:rPr>
          <w:rFonts w:eastAsia="MS Mincho"/>
          <w:lang w:eastAsia="ja-JP"/>
        </w:rPr>
        <w:t xml:space="preserve">a single </w:t>
      </w:r>
      <w:r w:rsidRPr="00A22114">
        <w:rPr>
          <w:rFonts w:eastAsia="MS Mincho" w:hint="eastAsia"/>
          <w:lang w:eastAsia="ja-JP"/>
        </w:rPr>
        <w:t xml:space="preserve">fixed number of antenna port(s) </w:t>
      </w:r>
      <w:r>
        <w:rPr>
          <w:rFonts w:eastAsia="MS Mincho"/>
          <w:lang w:eastAsia="ja-JP"/>
        </w:rPr>
        <w:t>is</w:t>
      </w:r>
      <w:r>
        <w:rPr>
          <w:rFonts w:eastAsia="MS Mincho" w:hint="eastAsia"/>
          <w:lang w:eastAsia="ja-JP"/>
        </w:rPr>
        <w:t xml:space="preserve"> supported</w:t>
      </w:r>
    </w:p>
    <w:p w14:paraId="3BB4AEDA" w14:textId="77777777" w:rsidR="006559A0" w:rsidRDefault="006559A0" w:rsidP="006559A0">
      <w:pPr>
        <w:keepNext/>
      </w:pPr>
    </w:p>
    <w:p w14:paraId="1DA4ACBA" w14:textId="77777777" w:rsidR="006559A0" w:rsidRDefault="006559A0" w:rsidP="006559A0">
      <w:pPr>
        <w:keepNext/>
        <w:ind w:firstLine="288"/>
      </w:pPr>
      <w:r>
        <w:t xml:space="preserve">In our companion contribution </w:t>
      </w:r>
      <w:r>
        <w:fldChar w:fldCharType="begin"/>
      </w:r>
      <w:r>
        <w:instrText xml:space="preserve"> REF _Ref474149800 \r \h </w:instrText>
      </w:r>
      <w:r>
        <w:fldChar w:fldCharType="separate"/>
      </w:r>
      <w:r w:rsidR="001C1EE0">
        <w:t>[2]</w:t>
      </w:r>
      <w:r>
        <w:fldChar w:fldCharType="end"/>
      </w:r>
      <w:r>
        <w:t>, we have evaluated different transmit diversity schemes using MMSE-IRC receivers. With MMSE-IRC receivers and with code-rate with 1/5, precoder cycling methods provide better performance compared to SFBC in interference limited scenarios and provides similar performance to SFBC in noise limited scenarios. This is because rank 1 transmissions allows further reduction of interference as MMSE-IRC receivers are able to suppress interference to wider receive null spaces.</w:t>
      </w:r>
    </w:p>
    <w:p w14:paraId="518312A4" w14:textId="77777777" w:rsidR="006559A0" w:rsidRDefault="006559A0" w:rsidP="006559A0">
      <w:pPr>
        <w:keepNext/>
      </w:pPr>
      <w:r>
        <w:t xml:space="preserve">However, it should be noted that PRB-level precoder cycling is only possible if there is a dedicated DM-RS for PBCH and the antenna port between SSS and DM-RS of PBCH is not shared. This is because PRB-level precoder cycling of SSS will have significant implication in detection of the SSS. </w:t>
      </w:r>
    </w:p>
    <w:p w14:paraId="2C6F0AD3" w14:textId="77777777" w:rsidR="006559A0" w:rsidRDefault="006559A0" w:rsidP="006559A0">
      <w:pPr>
        <w:keepNext/>
      </w:pPr>
      <w:r>
        <w:t>In case of precoder vector switching (PVS), where frequency flat precoding is applied to PBCH and different precoding is applied to different redundancy versions of PBCH is only valid if there are multiple instances of PBCH with identical contents. Therefore, this may be only valid for cases where UE combines multiple PBCH instances with identical contents. The added benefit of the PVS is that SSS can be used as DM-RS for PBCH in case TDM multiplexing between SSS and PBCH is used.</w:t>
      </w:r>
    </w:p>
    <w:p w14:paraId="3AFF140C" w14:textId="77777777" w:rsidR="006559A0" w:rsidRDefault="006559A0" w:rsidP="006559A0">
      <w:pPr>
        <w:keepNext/>
      </w:pPr>
      <w:r>
        <w:t xml:space="preserve">SFBC is likely more robust transmission scheme. However, the additional overhead for DM-RS for two antenna ports needs to be taken into account. When PBCH is TDM with SSS, the SSS can be used as DM-RS of PBCH. </w:t>
      </w:r>
    </w:p>
    <w:p w14:paraId="66B0F091" w14:textId="77777777" w:rsidR="006559A0" w:rsidRDefault="006559A0" w:rsidP="006559A0">
      <w:pPr>
        <w:keepNext/>
      </w:pPr>
    </w:p>
    <w:p w14:paraId="2D09CD35" w14:textId="77777777" w:rsidR="006559A0" w:rsidRDefault="006559A0" w:rsidP="006559A0">
      <w:pPr>
        <w:keepNext/>
        <w:rPr>
          <w:b/>
          <w:u w:val="single"/>
        </w:rPr>
      </w:pPr>
      <w:r w:rsidRPr="00F3167D">
        <w:rPr>
          <w:noProof/>
          <w:lang w:eastAsia="ko-KR"/>
        </w:rPr>
        <w:drawing>
          <wp:inline distT="0" distB="0" distL="0" distR="0" wp14:anchorId="0144C5E2" wp14:editId="466818A6">
            <wp:extent cx="6332220" cy="159470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32220" cy="1594702"/>
                    </a:xfrm>
                    <a:prstGeom prst="rect">
                      <a:avLst/>
                    </a:prstGeom>
                    <a:noFill/>
                    <a:ln>
                      <a:noFill/>
                    </a:ln>
                  </pic:spPr>
                </pic:pic>
              </a:graphicData>
            </a:graphic>
          </wp:inline>
        </w:drawing>
      </w:r>
    </w:p>
    <w:p w14:paraId="6C123E9F" w14:textId="77777777" w:rsidR="006559A0" w:rsidRDefault="006559A0" w:rsidP="006559A0">
      <w:pPr>
        <w:pStyle w:val="Caption"/>
        <w:jc w:val="center"/>
      </w:pPr>
      <w:bookmarkStart w:id="1" w:name="_Ref474178099"/>
      <w:bookmarkStart w:id="2" w:name="_Ref474178082"/>
      <w:r>
        <w:t xml:space="preserve">Figure </w:t>
      </w:r>
      <w:fldSimple w:instr=" SEQ Figure \* ARABIC ">
        <w:r w:rsidR="002F63D1">
          <w:rPr>
            <w:noProof/>
          </w:rPr>
          <w:t>1</w:t>
        </w:r>
      </w:fldSimple>
      <w:bookmarkEnd w:id="1"/>
      <w:r>
        <w:t>. Example of three different Antenna Port (AP) sharing options between NR SSS and NR PBCH</w:t>
      </w:r>
      <w:bookmarkEnd w:id="2"/>
    </w:p>
    <w:p w14:paraId="004589C7" w14:textId="2F56D607" w:rsidR="006559A0" w:rsidRDefault="006559A0" w:rsidP="00DC1451">
      <w:pPr>
        <w:keepNext/>
        <w:ind w:firstLine="288"/>
      </w:pPr>
      <w:r>
        <w:t>If NR SSS antenna port is shared with NR PBCH, it is very likely that NR SSS may be utilized in the channel estimation process fo</w:t>
      </w:r>
      <w:r w:rsidR="001C1EE0">
        <w:t xml:space="preserve">r demodulating NR PBCH. </w:t>
      </w:r>
      <w:r w:rsidR="001C1EE0">
        <w:fldChar w:fldCharType="begin"/>
      </w:r>
      <w:r w:rsidR="001C1EE0">
        <w:instrText xml:space="preserve"> REF _Ref474178099 \h </w:instrText>
      </w:r>
      <w:r w:rsidR="001C1EE0">
        <w:fldChar w:fldCharType="separate"/>
      </w:r>
      <w:r w:rsidR="001C1EE0">
        <w:t xml:space="preserve">Figure </w:t>
      </w:r>
      <w:r w:rsidR="001C1EE0">
        <w:rPr>
          <w:noProof/>
        </w:rPr>
        <w:t>1</w:t>
      </w:r>
      <w:r w:rsidR="001C1EE0">
        <w:fldChar w:fldCharType="end"/>
      </w:r>
      <w:r w:rsidR="001C1EE0">
        <w:t xml:space="preserve"> </w:t>
      </w:r>
      <w:r>
        <w:t xml:space="preserve">shows some examples of antenna port sharing possibilities between NR SSS and NR PBCH. In the example, we assumed NR PBCH requires two antenna ports, and NR SSS requires single antenna </w:t>
      </w:r>
      <w:r>
        <w:lastRenderedPageBreak/>
        <w:t>port for option (a) and (b) and two antenna port for option (c).</w:t>
      </w:r>
      <w:r w:rsidR="000C530C">
        <w:t xml:space="preserve"> Note that partial or full AP sharing only is feasible if TDM between PSS/SSS and PBCH is used.</w:t>
      </w:r>
    </w:p>
    <w:p w14:paraId="1D07F4FA" w14:textId="5B104E8D" w:rsidR="00096B4C" w:rsidRDefault="00096B4C" w:rsidP="00DC1451">
      <w:pPr>
        <w:keepNext/>
        <w:ind w:firstLine="288"/>
      </w:pPr>
      <w:r>
        <w:t>One potential issue for full AP sharing between SSS and PBCH is that this implies SSS is broken into at least two parts. This reduces effective length of the sequence of SSS by half, as the entire length of the correlated values cannot be coherently combined. Therefore, option (c) full AP sharing may not be an attraction solution.</w:t>
      </w:r>
    </w:p>
    <w:p w14:paraId="4F63AE92" w14:textId="63B8EC36" w:rsidR="000E514C" w:rsidRDefault="00096B4C" w:rsidP="00A72C6C">
      <w:pPr>
        <w:pStyle w:val="BodyText"/>
        <w:spacing w:before="240"/>
        <w:jc w:val="left"/>
        <w:rPr>
          <w:lang w:eastAsia="zh-CN"/>
        </w:rPr>
      </w:pPr>
      <w:r>
        <w:rPr>
          <w:lang w:eastAsia="zh-CN"/>
        </w:rPr>
        <w:tab/>
        <w:t>Based on these aspects, if TDM between PSS/SSS and PBCH is used, we prefer to support either (i) single antenna port PBCH with slot-level precoder cycling with SSS as DM-RS, or (ii) two antenna port SFBC PBCH</w:t>
      </w:r>
      <w:r w:rsidR="00617081">
        <w:rPr>
          <w:lang w:eastAsia="zh-CN"/>
        </w:rPr>
        <w:t xml:space="preserve"> with SSS as DM-RS of one of the antenna port.</w:t>
      </w:r>
      <w:r w:rsidR="00D14EC6">
        <w:rPr>
          <w:lang w:eastAsia="zh-CN"/>
        </w:rPr>
        <w:t xml:space="preserve"> If FDM between PSS/SSS and PBCH is used, we prefer to support either (i) single antenna port PBCH with PRB-level precoder cycling with dedicated DM-RS, or (ii) single antenna port PBCH with slot-level precoder cycling with dedicated DM-RS.</w:t>
      </w:r>
    </w:p>
    <w:p w14:paraId="66014CEA" w14:textId="09D49F9B" w:rsidR="00D14EC6" w:rsidRPr="00DE19F9" w:rsidRDefault="00D14EC6" w:rsidP="00D14EC6">
      <w:pPr>
        <w:pStyle w:val="BodyText"/>
        <w:spacing w:before="240"/>
        <w:jc w:val="left"/>
        <w:rPr>
          <w:b/>
          <w:i/>
          <w:lang w:eastAsia="zh-CN"/>
        </w:rPr>
      </w:pPr>
      <w:r w:rsidRPr="00DE19F9">
        <w:rPr>
          <w:b/>
          <w:i/>
          <w:lang w:eastAsia="zh-CN"/>
        </w:rPr>
        <w:t>Proposa</w:t>
      </w:r>
      <w:r>
        <w:rPr>
          <w:b/>
          <w:i/>
          <w:lang w:eastAsia="zh-CN"/>
        </w:rPr>
        <w:t xml:space="preserve">l </w:t>
      </w:r>
      <w:r w:rsidR="00985A01">
        <w:rPr>
          <w:b/>
          <w:i/>
          <w:lang w:eastAsia="zh-CN"/>
        </w:rPr>
        <w:t>2</w:t>
      </w:r>
      <w:r w:rsidRPr="00DE19F9">
        <w:rPr>
          <w:b/>
          <w:i/>
          <w:lang w:eastAsia="zh-CN"/>
        </w:rPr>
        <w:t>:</w:t>
      </w:r>
    </w:p>
    <w:p w14:paraId="5AF09575" w14:textId="6F041019" w:rsidR="00D14EC6" w:rsidRPr="002D5E81" w:rsidRDefault="00D14EC6" w:rsidP="00D14EC6">
      <w:pPr>
        <w:pStyle w:val="BodyText"/>
        <w:numPr>
          <w:ilvl w:val="0"/>
          <w:numId w:val="21"/>
        </w:numPr>
        <w:spacing w:before="240"/>
        <w:jc w:val="left"/>
        <w:rPr>
          <w:i/>
          <w:lang w:eastAsia="zh-CN"/>
        </w:rPr>
      </w:pPr>
      <w:r w:rsidRPr="002D5E81">
        <w:rPr>
          <w:i/>
          <w:lang w:eastAsia="zh-CN"/>
        </w:rPr>
        <w:t>If TDM between SSS and PBCH is agreed, down-select from the following transmission schemes for PBCH:</w:t>
      </w:r>
    </w:p>
    <w:p w14:paraId="157BFF86" w14:textId="4BD7E9ED" w:rsidR="00D14EC6" w:rsidRPr="00DC1451" w:rsidRDefault="00D14EC6" w:rsidP="00DC1451">
      <w:pPr>
        <w:pStyle w:val="BodyText"/>
        <w:numPr>
          <w:ilvl w:val="1"/>
          <w:numId w:val="21"/>
        </w:numPr>
        <w:spacing w:before="240"/>
        <w:jc w:val="left"/>
        <w:rPr>
          <w:i/>
          <w:lang w:eastAsia="zh-CN"/>
        </w:rPr>
      </w:pPr>
      <w:r w:rsidRPr="00DC1451">
        <w:rPr>
          <w:i/>
          <w:lang w:eastAsia="zh-CN"/>
        </w:rPr>
        <w:t>single antenna port PBCH with slot-level precoder cycling with SSS as DM-RS, or</w:t>
      </w:r>
    </w:p>
    <w:p w14:paraId="7F246D75" w14:textId="5C35B2E9" w:rsidR="00D14EC6" w:rsidRPr="002D5E81" w:rsidRDefault="00D14EC6" w:rsidP="00DC1451">
      <w:pPr>
        <w:pStyle w:val="BodyText"/>
        <w:numPr>
          <w:ilvl w:val="1"/>
          <w:numId w:val="21"/>
        </w:numPr>
        <w:spacing w:before="240"/>
        <w:jc w:val="left"/>
        <w:rPr>
          <w:i/>
          <w:lang w:eastAsia="zh-CN"/>
        </w:rPr>
      </w:pPr>
      <w:r w:rsidRPr="00DC1451">
        <w:rPr>
          <w:i/>
          <w:lang w:eastAsia="zh-CN"/>
        </w:rPr>
        <w:t>two antenna port SFBC PBCH with SSS as DM-RS of one of the antenna port</w:t>
      </w:r>
    </w:p>
    <w:p w14:paraId="03D5A2AF" w14:textId="77777777" w:rsidR="002D5E81" w:rsidRPr="00DE19F9" w:rsidRDefault="00D14EC6" w:rsidP="002D5E81">
      <w:pPr>
        <w:pStyle w:val="BodyText"/>
        <w:numPr>
          <w:ilvl w:val="0"/>
          <w:numId w:val="21"/>
        </w:numPr>
        <w:spacing w:before="240"/>
        <w:jc w:val="left"/>
        <w:rPr>
          <w:i/>
          <w:lang w:eastAsia="zh-CN"/>
        </w:rPr>
      </w:pPr>
      <w:r>
        <w:rPr>
          <w:i/>
          <w:lang w:eastAsia="zh-CN"/>
        </w:rPr>
        <w:t xml:space="preserve">If FDM between </w:t>
      </w:r>
      <w:r w:rsidR="002D5E81">
        <w:rPr>
          <w:i/>
          <w:lang w:eastAsia="zh-CN"/>
        </w:rPr>
        <w:t xml:space="preserve">SSS and PBCH is agreed, </w:t>
      </w:r>
      <w:r w:rsidR="002D5E81" w:rsidRPr="00DE19F9">
        <w:rPr>
          <w:i/>
          <w:lang w:eastAsia="zh-CN"/>
        </w:rPr>
        <w:t>down-select from the following transmission schemes for PBCH:</w:t>
      </w:r>
    </w:p>
    <w:p w14:paraId="7834B502" w14:textId="77777777" w:rsidR="002D5E81" w:rsidRPr="00DC1451" w:rsidRDefault="002D5E81" w:rsidP="00DC1451">
      <w:pPr>
        <w:pStyle w:val="BodyText"/>
        <w:numPr>
          <w:ilvl w:val="1"/>
          <w:numId w:val="21"/>
        </w:numPr>
        <w:spacing w:before="240"/>
        <w:jc w:val="left"/>
        <w:rPr>
          <w:i/>
          <w:lang w:eastAsia="zh-CN"/>
        </w:rPr>
      </w:pPr>
      <w:r w:rsidRPr="00DC1451">
        <w:rPr>
          <w:i/>
          <w:lang w:eastAsia="zh-CN"/>
        </w:rPr>
        <w:t xml:space="preserve">single antenna port PBCH with PRB-level precoder cycling with dedicated DM-RS, or </w:t>
      </w:r>
    </w:p>
    <w:p w14:paraId="76671D35" w14:textId="29A6CB8F" w:rsidR="002D5E81" w:rsidRDefault="002D5E81" w:rsidP="00DC1451">
      <w:pPr>
        <w:pStyle w:val="BodyText"/>
        <w:numPr>
          <w:ilvl w:val="1"/>
          <w:numId w:val="21"/>
        </w:numPr>
        <w:spacing w:before="240"/>
        <w:jc w:val="left"/>
        <w:rPr>
          <w:i/>
          <w:lang w:eastAsia="zh-CN"/>
        </w:rPr>
      </w:pPr>
      <w:r w:rsidRPr="00DC1451">
        <w:rPr>
          <w:i/>
          <w:lang w:eastAsia="zh-CN"/>
        </w:rPr>
        <w:t>single antenna port PBCH with slot-level precoder cycling with dedicated DM-RS.</w:t>
      </w:r>
    </w:p>
    <w:p w14:paraId="4FCBC80B" w14:textId="77777777" w:rsidR="00985A01" w:rsidRPr="00DC1451" w:rsidRDefault="00985A01" w:rsidP="00DC1451">
      <w:pPr>
        <w:pStyle w:val="BodyText"/>
        <w:spacing w:before="240"/>
        <w:jc w:val="left"/>
        <w:rPr>
          <w:i/>
          <w:lang w:eastAsia="zh-CN"/>
        </w:rPr>
      </w:pPr>
    </w:p>
    <w:p w14:paraId="0E78EA93" w14:textId="02BC9A76" w:rsidR="00985A01" w:rsidRPr="006969BE" w:rsidRDefault="00985A01" w:rsidP="00985A01">
      <w:pPr>
        <w:pStyle w:val="Heading1"/>
        <w:numPr>
          <w:ilvl w:val="0"/>
          <w:numId w:val="16"/>
        </w:numPr>
        <w:ind w:left="360"/>
        <w:rPr>
          <w:rFonts w:cs="Arial"/>
          <w:sz w:val="32"/>
          <w:szCs w:val="32"/>
          <w:lang w:val="en-US"/>
        </w:rPr>
      </w:pPr>
      <w:r>
        <w:rPr>
          <w:rFonts w:cs="Arial"/>
          <w:sz w:val="32"/>
          <w:szCs w:val="32"/>
          <w:lang w:val="en-US"/>
        </w:rPr>
        <w:t xml:space="preserve">Multiplexing </w:t>
      </w:r>
    </w:p>
    <w:p w14:paraId="757BCB64" w14:textId="77777777" w:rsidR="00A81198" w:rsidRDefault="00A81198" w:rsidP="00A81198">
      <w:pPr>
        <w:pStyle w:val="BodyText"/>
        <w:keepNext/>
        <w:spacing w:before="240"/>
        <w:jc w:val="center"/>
      </w:pPr>
      <w:r w:rsidRPr="0094657D">
        <w:rPr>
          <w:noProof/>
          <w:lang w:eastAsia="ko-KR"/>
        </w:rPr>
        <w:drawing>
          <wp:inline distT="0" distB="0" distL="0" distR="0" wp14:anchorId="30F6827C" wp14:editId="7BF8A9DB">
            <wp:extent cx="3255264" cy="3082450"/>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78052" cy="3104028"/>
                    </a:xfrm>
                    <a:prstGeom prst="rect">
                      <a:avLst/>
                    </a:prstGeom>
                    <a:noFill/>
                    <a:ln>
                      <a:noFill/>
                    </a:ln>
                  </pic:spPr>
                </pic:pic>
              </a:graphicData>
            </a:graphic>
          </wp:inline>
        </w:drawing>
      </w:r>
    </w:p>
    <w:p w14:paraId="2936A8CD" w14:textId="77777777" w:rsidR="00A81198" w:rsidRDefault="00A81198" w:rsidP="00A81198">
      <w:pPr>
        <w:pStyle w:val="Caption"/>
        <w:jc w:val="center"/>
        <w:rPr>
          <w:lang w:eastAsia="zh-CN"/>
        </w:rPr>
      </w:pPr>
      <w:r>
        <w:t xml:space="preserve">Figure </w:t>
      </w:r>
      <w:fldSimple w:instr=" SEQ Figure \* ARABIC ">
        <w:r>
          <w:rPr>
            <w:noProof/>
          </w:rPr>
          <w:t>3</w:t>
        </w:r>
      </w:fldSimple>
      <w:r>
        <w:t>. TDM vs. FDM Approach</w:t>
      </w:r>
    </w:p>
    <w:p w14:paraId="16A64FC8" w14:textId="70C401BF" w:rsidR="00D14EC6" w:rsidRDefault="00A81198" w:rsidP="00DC1451">
      <w:pPr>
        <w:pStyle w:val="BodyText"/>
        <w:spacing w:before="240"/>
        <w:ind w:firstLine="288"/>
        <w:jc w:val="left"/>
        <w:rPr>
          <w:lang w:eastAsia="zh-CN"/>
        </w:rPr>
      </w:pPr>
      <w:r>
        <w:rPr>
          <w:lang w:eastAsia="zh-CN"/>
        </w:rPr>
        <w:lastRenderedPageBreak/>
        <w:t>Two</w:t>
      </w:r>
      <w:r w:rsidR="007E4937">
        <w:rPr>
          <w:lang w:eastAsia="zh-CN"/>
        </w:rPr>
        <w:t xml:space="preserve"> multiplexing scheme being considered for PBCH is TDM with PSS/SSS and FDM with PSS/SSS. The two m</w:t>
      </w:r>
      <w:r>
        <w:rPr>
          <w:lang w:eastAsia="zh-CN"/>
        </w:rPr>
        <w:t xml:space="preserve">ultiplexing </w:t>
      </w:r>
      <w:r w:rsidR="00413451">
        <w:rPr>
          <w:lang w:eastAsia="zh-CN"/>
        </w:rPr>
        <w:t>schemes have</w:t>
      </w:r>
      <w:r>
        <w:rPr>
          <w:lang w:eastAsia="zh-CN"/>
        </w:rPr>
        <w:t xml:space="preserve"> significant impact to minimum system bandwidth and bandwidth of the PSS/SSS.</w:t>
      </w:r>
      <w:r w:rsidR="00D801FC">
        <w:rPr>
          <w:lang w:eastAsia="zh-CN"/>
        </w:rPr>
        <w:t xml:space="preserve"> When TDM scheme is used, we have the possibility to reduce or eliminate the DM-RS for PBCH and therefore can improve the performance of PBCH by sending more REs compared with FDM scheme.</w:t>
      </w:r>
      <w:r w:rsidR="00721687">
        <w:rPr>
          <w:lang w:eastAsia="zh-CN"/>
        </w:rPr>
        <w:t xml:space="preserve"> Furthermore, the PSS/SSS can be potentially designed such that it is equal to the minimum system bandwidth, and therefore improving the detection performance of PSS/SSS. In case FDM scheme is used, it has the potential to reduce the number of OFDM symbols that needs to be sent per beam in multi-beam operation at the cost of losing the benefits described in the TDM scheme.</w:t>
      </w:r>
    </w:p>
    <w:p w14:paraId="2A83F8C5" w14:textId="7574FCF0" w:rsidR="00721687" w:rsidRDefault="00721687" w:rsidP="00DC1451">
      <w:pPr>
        <w:pStyle w:val="BodyText"/>
        <w:spacing w:before="240"/>
        <w:ind w:firstLine="288"/>
        <w:jc w:val="left"/>
        <w:rPr>
          <w:lang w:eastAsia="zh-CN"/>
        </w:rPr>
      </w:pPr>
      <w:r>
        <w:rPr>
          <w:lang w:eastAsia="zh-CN"/>
        </w:rPr>
        <w:t>We believe providing good performance for PSS/SSS and PBCH is more critical than optimizing OFDM symbol overhead for PBCH. This is because FDM scheme likely requires a larger SS block bandwidth and a larger minimum system bandwidth compared with the TDM approach which may prohibit deployments of future NR bands. Having a small minimum system bandwidth allows the operators to flexibly choose, the bandwidth of the NR carriers such that no spectrum is wasted.</w:t>
      </w:r>
    </w:p>
    <w:p w14:paraId="4E01F1B5" w14:textId="7EF94F41" w:rsidR="00985A01" w:rsidRPr="00DE19F9" w:rsidRDefault="00985A01" w:rsidP="00985A01">
      <w:pPr>
        <w:pStyle w:val="BodyText"/>
        <w:spacing w:before="240"/>
        <w:jc w:val="left"/>
        <w:rPr>
          <w:b/>
          <w:i/>
          <w:lang w:eastAsia="zh-CN"/>
        </w:rPr>
      </w:pPr>
      <w:r w:rsidRPr="00DE19F9">
        <w:rPr>
          <w:b/>
          <w:i/>
          <w:lang w:eastAsia="zh-CN"/>
        </w:rPr>
        <w:t>Proposa</w:t>
      </w:r>
      <w:r>
        <w:rPr>
          <w:b/>
          <w:i/>
          <w:lang w:eastAsia="zh-CN"/>
        </w:rPr>
        <w:t>l 3</w:t>
      </w:r>
      <w:r w:rsidRPr="00DE19F9">
        <w:rPr>
          <w:b/>
          <w:i/>
          <w:lang w:eastAsia="zh-CN"/>
        </w:rPr>
        <w:t>:</w:t>
      </w:r>
    </w:p>
    <w:p w14:paraId="3BA29654" w14:textId="65F1E2B3" w:rsidR="00985A01" w:rsidRPr="00DE19F9" w:rsidRDefault="00721687" w:rsidP="00985A01">
      <w:pPr>
        <w:pStyle w:val="BodyText"/>
        <w:numPr>
          <w:ilvl w:val="0"/>
          <w:numId w:val="21"/>
        </w:numPr>
        <w:spacing w:before="240"/>
        <w:jc w:val="left"/>
        <w:rPr>
          <w:i/>
          <w:lang w:eastAsia="zh-CN"/>
        </w:rPr>
      </w:pPr>
      <w:r>
        <w:rPr>
          <w:i/>
          <w:lang w:eastAsia="zh-CN"/>
        </w:rPr>
        <w:t>NR supports TDM between PSS/SSS and PBCH</w:t>
      </w:r>
    </w:p>
    <w:p w14:paraId="0B158BD6" w14:textId="77777777" w:rsidR="00985A01" w:rsidRPr="006969BE" w:rsidRDefault="00985A01" w:rsidP="00A72C6C">
      <w:pPr>
        <w:pStyle w:val="BodyText"/>
        <w:spacing w:before="240"/>
        <w:jc w:val="left"/>
        <w:rPr>
          <w:lang w:eastAsia="zh-CN"/>
        </w:rPr>
      </w:pPr>
    </w:p>
    <w:p w14:paraId="3E2CFA05" w14:textId="71A0373D" w:rsidR="00F46C63" w:rsidRPr="006969BE" w:rsidRDefault="00F46C63" w:rsidP="00F46C63">
      <w:pPr>
        <w:pStyle w:val="Heading1"/>
        <w:numPr>
          <w:ilvl w:val="0"/>
          <w:numId w:val="16"/>
        </w:numPr>
        <w:ind w:left="360"/>
        <w:rPr>
          <w:rFonts w:cs="Arial"/>
          <w:sz w:val="32"/>
          <w:szCs w:val="32"/>
          <w:lang w:val="en-US"/>
        </w:rPr>
      </w:pPr>
      <w:r>
        <w:rPr>
          <w:rFonts w:cs="Arial"/>
          <w:sz w:val="32"/>
          <w:szCs w:val="32"/>
          <w:lang w:val="en-US"/>
        </w:rPr>
        <w:t>Subcarrier Spacing</w:t>
      </w:r>
      <w:r w:rsidR="00D2490A">
        <w:rPr>
          <w:rFonts w:cs="Arial"/>
          <w:sz w:val="32"/>
          <w:szCs w:val="32"/>
          <w:lang w:val="en-US"/>
        </w:rPr>
        <w:t xml:space="preserve"> </w:t>
      </w:r>
    </w:p>
    <w:p w14:paraId="5E8069A1" w14:textId="77777777" w:rsidR="000722E1" w:rsidRDefault="009E4CED" w:rsidP="00DC1451">
      <w:pPr>
        <w:pStyle w:val="BodyText"/>
        <w:spacing w:before="240"/>
        <w:ind w:firstLine="288"/>
        <w:jc w:val="left"/>
        <w:rPr>
          <w:lang w:eastAsia="zh-CN"/>
        </w:rPr>
      </w:pPr>
      <w:r>
        <w:rPr>
          <w:lang w:eastAsia="zh-CN"/>
        </w:rPr>
        <w:t xml:space="preserve">It was agreed in RAN1 #87 that specific subcarrier spacing of PSS/SSS for a given frequency band is specified in specification. The reason was to reduce the computation complexity burden of the UE during cell search procedures. </w:t>
      </w:r>
      <w:r w:rsidR="002E09B7">
        <w:rPr>
          <w:lang w:eastAsia="zh-CN"/>
        </w:rPr>
        <w:t xml:space="preserve">The UE will know exactly the subcarrier spacing and the sequences of PSS/SSS when performing cell search for a specific frequency layer. </w:t>
      </w:r>
      <w:r w:rsidR="00357F31">
        <w:rPr>
          <w:lang w:eastAsia="zh-CN"/>
        </w:rPr>
        <w:t xml:space="preserve">This means that the subcarrier spacing of PSS/SSS may be different from data/control subcarriers. </w:t>
      </w:r>
      <w:r w:rsidR="000722E1">
        <w:rPr>
          <w:lang w:eastAsia="zh-CN"/>
        </w:rPr>
        <w:t>T</w:t>
      </w:r>
      <w:r w:rsidR="00DE21BE">
        <w:rPr>
          <w:lang w:eastAsia="zh-CN"/>
        </w:rPr>
        <w:t>ypically the subcarrier spacing for data/control subcarriers will be selected by the operator to optimize for the deployment scenario</w:t>
      </w:r>
      <w:r w:rsidR="000722E1">
        <w:rPr>
          <w:lang w:eastAsia="zh-CN"/>
        </w:rPr>
        <w:t>.</w:t>
      </w:r>
    </w:p>
    <w:p w14:paraId="7F614131" w14:textId="77777777" w:rsidR="000722E1" w:rsidRDefault="000722E1" w:rsidP="00DC1451">
      <w:pPr>
        <w:pStyle w:val="BodyText"/>
        <w:spacing w:before="240"/>
        <w:ind w:firstLine="288"/>
        <w:jc w:val="left"/>
        <w:rPr>
          <w:lang w:eastAsia="zh-CN"/>
        </w:rPr>
      </w:pPr>
      <w:r>
        <w:rPr>
          <w:lang w:eastAsia="zh-CN"/>
        </w:rPr>
        <w:t xml:space="preserve">It is not yet determined whether the physical broadcast channels will have the same subcarrier spacing as PSS/SSS. We observed several benefits of designing PBCH to have same subcarrier spacing as data/control signals. First, benefit is the ease in multiplexing between PBCH and other data/control channels. In order to multiplexing different signals with different subcarrier spacing, guard band is required to allow inter-subcarrier interference to be minimized. Having the same subcarrier spacing and slot definitions allow efficient multiplexing between PBCH and other data/control channels. Furthermore, configuring the appropriate CP length for the PBCH will improve the network efficiency as well. PBCH is expected to carry larger payload and therefore will require more resources compared to PSS/SSS. It is much more essential to optimize the resources for PBCH compared that of PSS/SSS. Furthermore, PBCH will be decoded at the receiver by computing the LLR values of the received signals and processing them. PSS/SSS is typically detected by correlation and more robust to wrong CP length configuration compared to PBCH. </w:t>
      </w:r>
    </w:p>
    <w:p w14:paraId="08EA78E5" w14:textId="7E5C87B2" w:rsidR="002F63D1" w:rsidRDefault="002F63D1" w:rsidP="00DC1451">
      <w:pPr>
        <w:pStyle w:val="BodyText"/>
        <w:spacing w:before="240"/>
        <w:ind w:firstLine="288"/>
        <w:jc w:val="left"/>
        <w:rPr>
          <w:lang w:eastAsia="zh-CN"/>
        </w:rPr>
      </w:pPr>
      <w:r>
        <w:rPr>
          <w:lang w:eastAsia="zh-CN"/>
        </w:rPr>
        <w:fldChar w:fldCharType="begin"/>
      </w:r>
      <w:r>
        <w:rPr>
          <w:lang w:eastAsia="zh-CN"/>
        </w:rPr>
        <w:instrText xml:space="preserve"> REF _Ref474178977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 xml:space="preserve"> shows examples of subcarrier spacing relationship between SSS and PBCH.</w:t>
      </w:r>
      <w:r w:rsidR="00383ABD">
        <w:rPr>
          <w:lang w:eastAsia="zh-CN"/>
        </w:rPr>
        <w:t xml:space="preserve"> The time-frequency duration of the PBCH can be made constant irrespective of the subcarrier spacing of the PBCH. When larger subcarrier spacing is used for PBCH, more number of OFDM symbol can be used to compensate for the reduction in number of subcarriers within the SS block bandwidth. When narrower subcarrier spacing is used for PBCH, less number of OFDM symbols can be used to counter-balance the increase in number of subcarriers within the SS block bandwidth.</w:t>
      </w:r>
    </w:p>
    <w:p w14:paraId="6F1F2497" w14:textId="367CC263" w:rsidR="002F63D1" w:rsidRDefault="002F63D1" w:rsidP="00DC1451">
      <w:pPr>
        <w:pStyle w:val="BodyText"/>
        <w:keepNext/>
        <w:spacing w:before="240"/>
        <w:jc w:val="center"/>
      </w:pPr>
      <w:r w:rsidRPr="002F63D1">
        <w:rPr>
          <w:noProof/>
          <w:lang w:eastAsia="ko-KR"/>
        </w:rPr>
        <w:lastRenderedPageBreak/>
        <w:drawing>
          <wp:inline distT="0" distB="0" distL="0" distR="0" wp14:anchorId="52EB2888" wp14:editId="69B8AAB1">
            <wp:extent cx="5837529" cy="231817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62166" cy="2327956"/>
                    </a:xfrm>
                    <a:prstGeom prst="rect">
                      <a:avLst/>
                    </a:prstGeom>
                    <a:noFill/>
                    <a:ln>
                      <a:noFill/>
                    </a:ln>
                  </pic:spPr>
                </pic:pic>
              </a:graphicData>
            </a:graphic>
          </wp:inline>
        </w:drawing>
      </w:r>
    </w:p>
    <w:p w14:paraId="10F01B42" w14:textId="5B5C8F18" w:rsidR="002F63D1" w:rsidRDefault="002F63D1" w:rsidP="00DC1451">
      <w:pPr>
        <w:pStyle w:val="Caption"/>
        <w:jc w:val="center"/>
        <w:rPr>
          <w:lang w:eastAsia="zh-CN"/>
        </w:rPr>
      </w:pPr>
      <w:bookmarkStart w:id="3" w:name="_Ref474178977"/>
      <w:r>
        <w:t xml:space="preserve">Figure </w:t>
      </w:r>
      <w:fldSimple w:instr=" SEQ Figure \* ARABIC ">
        <w:r>
          <w:rPr>
            <w:noProof/>
          </w:rPr>
          <w:t>2</w:t>
        </w:r>
      </w:fldSimple>
      <w:bookmarkEnd w:id="3"/>
      <w:r>
        <w:t>. Example of subcarrier spacing of PBCH</w:t>
      </w:r>
    </w:p>
    <w:p w14:paraId="1B3ADB07" w14:textId="5621A9B7" w:rsidR="003C03BB" w:rsidRDefault="000722E1" w:rsidP="00A72C6C">
      <w:pPr>
        <w:pStyle w:val="BodyText"/>
        <w:spacing w:before="240"/>
        <w:jc w:val="left"/>
        <w:rPr>
          <w:b/>
          <w:i/>
          <w:lang w:eastAsia="zh-CN"/>
        </w:rPr>
      </w:pPr>
      <w:r w:rsidRPr="00DC1451">
        <w:rPr>
          <w:b/>
          <w:i/>
          <w:lang w:eastAsia="zh-CN"/>
        </w:rPr>
        <w:t xml:space="preserve">Proposal </w:t>
      </w:r>
      <w:r w:rsidR="00985A01">
        <w:rPr>
          <w:b/>
          <w:i/>
          <w:lang w:eastAsia="zh-CN"/>
        </w:rPr>
        <w:t>4</w:t>
      </w:r>
      <w:r w:rsidRPr="00DC1451">
        <w:rPr>
          <w:b/>
          <w:i/>
          <w:lang w:eastAsia="zh-CN"/>
        </w:rPr>
        <w:t xml:space="preserve">: </w:t>
      </w:r>
    </w:p>
    <w:p w14:paraId="510EF0BB" w14:textId="3BF14A39" w:rsidR="00117F8D" w:rsidRPr="00DC1451" w:rsidRDefault="000722E1" w:rsidP="00DC1451">
      <w:pPr>
        <w:pStyle w:val="BodyText"/>
        <w:numPr>
          <w:ilvl w:val="0"/>
          <w:numId w:val="23"/>
        </w:numPr>
        <w:spacing w:before="240"/>
        <w:jc w:val="left"/>
        <w:rPr>
          <w:i/>
          <w:lang w:eastAsia="zh-CN"/>
        </w:rPr>
      </w:pPr>
      <w:r w:rsidRPr="00DC1451">
        <w:rPr>
          <w:i/>
          <w:lang w:eastAsia="zh-CN"/>
        </w:rPr>
        <w:t xml:space="preserve">PBCH subcarrier spacing is configured to be same as </w:t>
      </w:r>
      <w:r w:rsidR="00071415" w:rsidRPr="00DC1451">
        <w:rPr>
          <w:i/>
          <w:lang w:eastAsia="zh-CN"/>
        </w:rPr>
        <w:t xml:space="preserve">subcarrier spacing of </w:t>
      </w:r>
      <w:r w:rsidRPr="00DC1451">
        <w:rPr>
          <w:i/>
          <w:lang w:eastAsia="zh-CN"/>
        </w:rPr>
        <w:t>eMBB data/control channels configured in the NR cell.</w:t>
      </w:r>
    </w:p>
    <w:p w14:paraId="4536208E" w14:textId="77777777" w:rsidR="00357F31" w:rsidRDefault="002D4D90" w:rsidP="00DC1451">
      <w:pPr>
        <w:pStyle w:val="BodyText"/>
        <w:spacing w:before="240"/>
        <w:ind w:firstLine="288"/>
        <w:jc w:val="left"/>
        <w:rPr>
          <w:lang w:eastAsia="zh-CN"/>
        </w:rPr>
      </w:pPr>
      <w:r>
        <w:rPr>
          <w:lang w:eastAsia="zh-CN"/>
        </w:rPr>
        <w:t>It should be noted that the main motivation of PSS/SSS subcarrier spacing to be fixed in specification for a given frequency range was to avoid additional blind detection at the receiver. Therefore, it is equally important to avoid blind detection of PBCH subcarrier spacing as well. The only way to avoid blind detection of the subcarrier spacing of the PBCH is have an explicit indication of the subcarrier spacing in the SS block</w:t>
      </w:r>
      <w:r w:rsidR="00957041">
        <w:rPr>
          <w:lang w:eastAsia="zh-CN"/>
        </w:rPr>
        <w:t xml:space="preserve"> (excluding the PBCH itself).</w:t>
      </w:r>
    </w:p>
    <w:p w14:paraId="22E6927B" w14:textId="6478B32F" w:rsidR="00C267FB" w:rsidRPr="00DC1451" w:rsidRDefault="00957041" w:rsidP="00A72C6C">
      <w:pPr>
        <w:pStyle w:val="BodyText"/>
        <w:spacing w:before="240"/>
        <w:jc w:val="left"/>
        <w:rPr>
          <w:b/>
          <w:i/>
          <w:lang w:eastAsia="zh-CN"/>
        </w:rPr>
      </w:pPr>
      <w:r w:rsidRPr="00DC1451">
        <w:rPr>
          <w:b/>
          <w:i/>
          <w:lang w:eastAsia="zh-CN"/>
        </w:rPr>
        <w:t xml:space="preserve">Proposal </w:t>
      </w:r>
      <w:r w:rsidR="00985A01">
        <w:rPr>
          <w:b/>
          <w:i/>
          <w:lang w:eastAsia="zh-CN"/>
        </w:rPr>
        <w:t>5</w:t>
      </w:r>
      <w:r w:rsidRPr="00DC1451">
        <w:rPr>
          <w:b/>
          <w:i/>
          <w:lang w:eastAsia="zh-CN"/>
        </w:rPr>
        <w:t>:</w:t>
      </w:r>
    </w:p>
    <w:p w14:paraId="488BD3A2" w14:textId="057F0CE3" w:rsidR="00957041" w:rsidRPr="00DC1451" w:rsidRDefault="00957041" w:rsidP="00DC1451">
      <w:pPr>
        <w:pStyle w:val="BodyText"/>
        <w:numPr>
          <w:ilvl w:val="0"/>
          <w:numId w:val="23"/>
        </w:numPr>
        <w:spacing w:before="240"/>
        <w:jc w:val="left"/>
        <w:rPr>
          <w:i/>
          <w:lang w:eastAsia="zh-CN"/>
        </w:rPr>
      </w:pPr>
      <w:r w:rsidRPr="00DC1451">
        <w:rPr>
          <w:i/>
          <w:lang w:eastAsia="zh-CN"/>
        </w:rPr>
        <w:t>PBCH subcarrier spacing is explicitly indicated in the synchronization signal.</w:t>
      </w:r>
    </w:p>
    <w:p w14:paraId="230FC8AB" w14:textId="77777777" w:rsidR="0094657D" w:rsidRDefault="0094657D" w:rsidP="00A72C6C">
      <w:pPr>
        <w:pStyle w:val="BodyText"/>
        <w:spacing w:before="240"/>
        <w:jc w:val="left"/>
        <w:rPr>
          <w:lang w:eastAsia="zh-CN"/>
        </w:rPr>
      </w:pPr>
    </w:p>
    <w:p w14:paraId="3F66FDC5" w14:textId="77777777" w:rsidR="00A72C6C" w:rsidRPr="006969BE" w:rsidRDefault="00A72C6C" w:rsidP="00A72C6C">
      <w:pPr>
        <w:keepNext/>
        <w:rPr>
          <w:b/>
          <w:color w:val="D9D9D9"/>
          <w:lang w:eastAsia="zh-CN"/>
        </w:rPr>
      </w:pPr>
    </w:p>
    <w:p w14:paraId="6D224050" w14:textId="77777777" w:rsidR="00A72C6C" w:rsidRPr="006969BE" w:rsidRDefault="00A72C6C" w:rsidP="00A72C6C">
      <w:pPr>
        <w:pStyle w:val="Heading1"/>
        <w:numPr>
          <w:ilvl w:val="0"/>
          <w:numId w:val="16"/>
        </w:numPr>
        <w:ind w:left="360"/>
        <w:rPr>
          <w:rFonts w:cs="Arial"/>
          <w:sz w:val="32"/>
          <w:szCs w:val="32"/>
          <w:lang w:val="en-US"/>
        </w:rPr>
      </w:pPr>
      <w:r w:rsidRPr="006969BE">
        <w:rPr>
          <w:rFonts w:cs="Arial"/>
          <w:sz w:val="32"/>
          <w:szCs w:val="32"/>
          <w:lang w:val="en-US"/>
        </w:rPr>
        <w:t>Conclusions</w:t>
      </w:r>
    </w:p>
    <w:p w14:paraId="560A1D6B" w14:textId="77777777" w:rsidR="00A72C6C" w:rsidRDefault="00A72C6C" w:rsidP="00A72C6C">
      <w:pPr>
        <w:tabs>
          <w:tab w:val="left" w:pos="1788"/>
        </w:tabs>
        <w:rPr>
          <w:lang w:eastAsia="zh-CN"/>
        </w:rPr>
      </w:pPr>
      <w:r w:rsidRPr="006969BE">
        <w:rPr>
          <w:lang w:eastAsia="zh-CN"/>
        </w:rPr>
        <w:t xml:space="preserve">In this contribution, we discussed the various aspects on </w:t>
      </w:r>
      <w:r w:rsidR="003A197A">
        <w:rPr>
          <w:lang w:eastAsia="zh-CN"/>
        </w:rPr>
        <w:t>physical broadcast channel</w:t>
      </w:r>
      <w:r w:rsidRPr="006969BE">
        <w:rPr>
          <w:lang w:eastAsia="zh-CN"/>
        </w:rPr>
        <w:t>. Our proposals are summarized as below:</w:t>
      </w:r>
    </w:p>
    <w:p w14:paraId="06D3D1DE" w14:textId="77777777" w:rsidR="00985A01" w:rsidRPr="00DE19F9" w:rsidRDefault="00985A01" w:rsidP="00985A01">
      <w:pPr>
        <w:pStyle w:val="BodyText"/>
        <w:spacing w:before="240"/>
        <w:jc w:val="left"/>
        <w:rPr>
          <w:b/>
          <w:i/>
          <w:lang w:eastAsia="zh-CN"/>
        </w:rPr>
      </w:pPr>
      <w:r w:rsidRPr="00DE19F9">
        <w:rPr>
          <w:b/>
          <w:i/>
          <w:lang w:eastAsia="zh-CN"/>
        </w:rPr>
        <w:t>Proposa</w:t>
      </w:r>
      <w:r>
        <w:rPr>
          <w:b/>
          <w:i/>
          <w:lang w:eastAsia="zh-CN"/>
        </w:rPr>
        <w:t>l 1</w:t>
      </w:r>
      <w:r w:rsidRPr="00DE19F9">
        <w:rPr>
          <w:b/>
          <w:i/>
          <w:lang w:eastAsia="zh-CN"/>
        </w:rPr>
        <w:t>:</w:t>
      </w:r>
    </w:p>
    <w:p w14:paraId="0726F46A" w14:textId="77777777" w:rsidR="00985A01" w:rsidRPr="00DE19F9" w:rsidRDefault="00985A01" w:rsidP="00985A01">
      <w:pPr>
        <w:pStyle w:val="BodyText"/>
        <w:numPr>
          <w:ilvl w:val="0"/>
          <w:numId w:val="21"/>
        </w:numPr>
        <w:spacing w:before="240"/>
        <w:jc w:val="left"/>
        <w:rPr>
          <w:i/>
          <w:lang w:eastAsia="zh-CN"/>
        </w:rPr>
      </w:pPr>
      <w:r>
        <w:rPr>
          <w:i/>
          <w:lang w:eastAsia="zh-CN"/>
        </w:rPr>
        <w:t>For performance evaluations, use 16 bit CRC as baseline assumption.</w:t>
      </w:r>
    </w:p>
    <w:p w14:paraId="74183285" w14:textId="77777777" w:rsidR="00985A01" w:rsidRPr="00DE19F9" w:rsidRDefault="00985A01" w:rsidP="00985A01">
      <w:pPr>
        <w:pStyle w:val="BodyText"/>
        <w:spacing w:before="240"/>
        <w:jc w:val="left"/>
        <w:rPr>
          <w:b/>
          <w:i/>
          <w:lang w:eastAsia="zh-CN"/>
        </w:rPr>
      </w:pPr>
      <w:r w:rsidRPr="00DE19F9">
        <w:rPr>
          <w:b/>
          <w:i/>
          <w:lang w:eastAsia="zh-CN"/>
        </w:rPr>
        <w:t>Proposa</w:t>
      </w:r>
      <w:r>
        <w:rPr>
          <w:b/>
          <w:i/>
          <w:lang w:eastAsia="zh-CN"/>
        </w:rPr>
        <w:t>l 2</w:t>
      </w:r>
      <w:r w:rsidRPr="00DE19F9">
        <w:rPr>
          <w:b/>
          <w:i/>
          <w:lang w:eastAsia="zh-CN"/>
        </w:rPr>
        <w:t>:</w:t>
      </w:r>
    </w:p>
    <w:p w14:paraId="5F571359" w14:textId="77777777" w:rsidR="00985A01" w:rsidRPr="00DE19F9" w:rsidRDefault="00985A01" w:rsidP="00985A01">
      <w:pPr>
        <w:pStyle w:val="BodyText"/>
        <w:numPr>
          <w:ilvl w:val="0"/>
          <w:numId w:val="21"/>
        </w:numPr>
        <w:spacing w:before="240"/>
        <w:jc w:val="left"/>
        <w:rPr>
          <w:i/>
          <w:lang w:eastAsia="zh-CN"/>
        </w:rPr>
      </w:pPr>
      <w:r w:rsidRPr="00DE19F9">
        <w:rPr>
          <w:i/>
          <w:lang w:eastAsia="zh-CN"/>
        </w:rPr>
        <w:t>If TDM between SSS and PBCH is agreed, down-select from the following transmission schemes for PBCH:</w:t>
      </w:r>
    </w:p>
    <w:p w14:paraId="2A8E2110" w14:textId="77777777" w:rsidR="00985A01" w:rsidRPr="00DE19F9" w:rsidRDefault="00985A01" w:rsidP="00985A01">
      <w:pPr>
        <w:pStyle w:val="BodyText"/>
        <w:numPr>
          <w:ilvl w:val="1"/>
          <w:numId w:val="21"/>
        </w:numPr>
        <w:spacing w:before="240"/>
        <w:jc w:val="left"/>
        <w:rPr>
          <w:i/>
          <w:lang w:eastAsia="zh-CN"/>
        </w:rPr>
      </w:pPr>
      <w:r w:rsidRPr="00DE19F9">
        <w:rPr>
          <w:i/>
          <w:lang w:eastAsia="zh-CN"/>
        </w:rPr>
        <w:t>single antenna port PBCH with slot-level precoder cycling with SSS as DM-RS, or</w:t>
      </w:r>
    </w:p>
    <w:p w14:paraId="29973396" w14:textId="77777777" w:rsidR="00985A01" w:rsidRPr="00DE19F9" w:rsidRDefault="00985A01" w:rsidP="00985A01">
      <w:pPr>
        <w:pStyle w:val="BodyText"/>
        <w:numPr>
          <w:ilvl w:val="1"/>
          <w:numId w:val="21"/>
        </w:numPr>
        <w:spacing w:before="240"/>
        <w:jc w:val="left"/>
        <w:rPr>
          <w:i/>
          <w:lang w:eastAsia="zh-CN"/>
        </w:rPr>
      </w:pPr>
      <w:r w:rsidRPr="00DE19F9">
        <w:rPr>
          <w:i/>
          <w:lang w:eastAsia="zh-CN"/>
        </w:rPr>
        <w:t>two antenna port SFBC PBCH with SSS as DM-RS of one of the antenna port</w:t>
      </w:r>
    </w:p>
    <w:p w14:paraId="28A2D3FD" w14:textId="77777777" w:rsidR="00985A01" w:rsidRPr="00DE19F9" w:rsidRDefault="00985A01" w:rsidP="00985A01">
      <w:pPr>
        <w:pStyle w:val="BodyText"/>
        <w:numPr>
          <w:ilvl w:val="0"/>
          <w:numId w:val="21"/>
        </w:numPr>
        <w:spacing w:before="240"/>
        <w:jc w:val="left"/>
        <w:rPr>
          <w:i/>
          <w:lang w:eastAsia="zh-CN"/>
        </w:rPr>
      </w:pPr>
      <w:r>
        <w:rPr>
          <w:i/>
          <w:lang w:eastAsia="zh-CN"/>
        </w:rPr>
        <w:t xml:space="preserve">If FDM between SSS and PBCH is agreed, </w:t>
      </w:r>
      <w:r w:rsidRPr="00DE19F9">
        <w:rPr>
          <w:i/>
          <w:lang w:eastAsia="zh-CN"/>
        </w:rPr>
        <w:t>down-select from the following transmission schemes for PBCH:</w:t>
      </w:r>
    </w:p>
    <w:p w14:paraId="09AB6A3A" w14:textId="77777777" w:rsidR="00985A01" w:rsidRPr="00DE19F9" w:rsidRDefault="00985A01" w:rsidP="00985A01">
      <w:pPr>
        <w:pStyle w:val="BodyText"/>
        <w:numPr>
          <w:ilvl w:val="1"/>
          <w:numId w:val="21"/>
        </w:numPr>
        <w:spacing w:before="240"/>
        <w:jc w:val="left"/>
        <w:rPr>
          <w:i/>
          <w:lang w:eastAsia="zh-CN"/>
        </w:rPr>
      </w:pPr>
      <w:r w:rsidRPr="00DE19F9">
        <w:rPr>
          <w:i/>
          <w:lang w:eastAsia="zh-CN"/>
        </w:rPr>
        <w:t xml:space="preserve">single antenna port PBCH with PRB-level precoder cycling with dedicated DM-RS, or </w:t>
      </w:r>
    </w:p>
    <w:p w14:paraId="1016FA55" w14:textId="77777777" w:rsidR="00985A01" w:rsidRDefault="00985A01" w:rsidP="00985A01">
      <w:pPr>
        <w:pStyle w:val="BodyText"/>
        <w:numPr>
          <w:ilvl w:val="1"/>
          <w:numId w:val="21"/>
        </w:numPr>
        <w:spacing w:before="240"/>
        <w:jc w:val="left"/>
        <w:rPr>
          <w:i/>
          <w:lang w:eastAsia="zh-CN"/>
        </w:rPr>
      </w:pPr>
      <w:r w:rsidRPr="00DE19F9">
        <w:rPr>
          <w:i/>
          <w:lang w:eastAsia="zh-CN"/>
        </w:rPr>
        <w:lastRenderedPageBreak/>
        <w:t>single antenna port PBCH with slot-level precoder cycling with dedicated DM-RS.</w:t>
      </w:r>
    </w:p>
    <w:p w14:paraId="1021102F" w14:textId="77777777" w:rsidR="00721687" w:rsidRPr="00DE19F9" w:rsidRDefault="00721687" w:rsidP="00721687">
      <w:pPr>
        <w:pStyle w:val="BodyText"/>
        <w:spacing w:before="240"/>
        <w:jc w:val="left"/>
        <w:rPr>
          <w:b/>
          <w:i/>
          <w:lang w:eastAsia="zh-CN"/>
        </w:rPr>
      </w:pPr>
      <w:r w:rsidRPr="00DE19F9">
        <w:rPr>
          <w:b/>
          <w:i/>
          <w:lang w:eastAsia="zh-CN"/>
        </w:rPr>
        <w:t>Proposa</w:t>
      </w:r>
      <w:r>
        <w:rPr>
          <w:b/>
          <w:i/>
          <w:lang w:eastAsia="zh-CN"/>
        </w:rPr>
        <w:t>l 3</w:t>
      </w:r>
      <w:r w:rsidRPr="00DE19F9">
        <w:rPr>
          <w:b/>
          <w:i/>
          <w:lang w:eastAsia="zh-CN"/>
        </w:rPr>
        <w:t>:</w:t>
      </w:r>
    </w:p>
    <w:p w14:paraId="5F769AE9" w14:textId="77777777" w:rsidR="00721687" w:rsidRPr="00DE19F9" w:rsidRDefault="00721687" w:rsidP="00721687">
      <w:pPr>
        <w:pStyle w:val="BodyText"/>
        <w:numPr>
          <w:ilvl w:val="0"/>
          <w:numId w:val="21"/>
        </w:numPr>
        <w:spacing w:before="240"/>
        <w:jc w:val="left"/>
        <w:rPr>
          <w:i/>
          <w:lang w:eastAsia="zh-CN"/>
        </w:rPr>
      </w:pPr>
      <w:r>
        <w:rPr>
          <w:i/>
          <w:lang w:eastAsia="zh-CN"/>
        </w:rPr>
        <w:t>NR supports TDM between PSS/SSS and PBCH</w:t>
      </w:r>
    </w:p>
    <w:p w14:paraId="0AD54D40" w14:textId="77777777" w:rsidR="00985A01" w:rsidRDefault="00985A01" w:rsidP="00985A01">
      <w:pPr>
        <w:pStyle w:val="BodyText"/>
        <w:spacing w:before="240"/>
        <w:jc w:val="left"/>
        <w:rPr>
          <w:b/>
          <w:i/>
          <w:lang w:eastAsia="zh-CN"/>
        </w:rPr>
      </w:pPr>
      <w:r w:rsidRPr="00DE19F9">
        <w:rPr>
          <w:b/>
          <w:i/>
          <w:lang w:eastAsia="zh-CN"/>
        </w:rPr>
        <w:t xml:space="preserve">Proposal </w:t>
      </w:r>
      <w:r>
        <w:rPr>
          <w:b/>
          <w:i/>
          <w:lang w:eastAsia="zh-CN"/>
        </w:rPr>
        <w:t>4</w:t>
      </w:r>
      <w:r w:rsidRPr="00DE19F9">
        <w:rPr>
          <w:b/>
          <w:i/>
          <w:lang w:eastAsia="zh-CN"/>
        </w:rPr>
        <w:t xml:space="preserve">: </w:t>
      </w:r>
    </w:p>
    <w:p w14:paraId="34014D51" w14:textId="77777777" w:rsidR="00985A01" w:rsidRPr="00DE19F9" w:rsidRDefault="00985A01" w:rsidP="00985A01">
      <w:pPr>
        <w:pStyle w:val="BodyText"/>
        <w:numPr>
          <w:ilvl w:val="0"/>
          <w:numId w:val="23"/>
        </w:numPr>
        <w:spacing w:before="240"/>
        <w:jc w:val="left"/>
        <w:rPr>
          <w:i/>
          <w:lang w:eastAsia="zh-CN"/>
        </w:rPr>
      </w:pPr>
      <w:r w:rsidRPr="00DE19F9">
        <w:rPr>
          <w:i/>
          <w:lang w:eastAsia="zh-CN"/>
        </w:rPr>
        <w:t>PBCH subcarrier spacing is configured to be same as subcarrier spacing of eMBB data/control channels configured in the NR cell.</w:t>
      </w:r>
    </w:p>
    <w:p w14:paraId="65791EA1" w14:textId="77777777" w:rsidR="00985A01" w:rsidRPr="00DE19F9" w:rsidRDefault="00985A01" w:rsidP="00985A01">
      <w:pPr>
        <w:pStyle w:val="BodyText"/>
        <w:spacing w:before="240"/>
        <w:jc w:val="left"/>
        <w:rPr>
          <w:b/>
          <w:i/>
          <w:lang w:eastAsia="zh-CN"/>
        </w:rPr>
      </w:pPr>
      <w:r w:rsidRPr="00DE19F9">
        <w:rPr>
          <w:b/>
          <w:i/>
          <w:lang w:eastAsia="zh-CN"/>
        </w:rPr>
        <w:t xml:space="preserve">Proposal </w:t>
      </w:r>
      <w:r>
        <w:rPr>
          <w:b/>
          <w:i/>
          <w:lang w:eastAsia="zh-CN"/>
        </w:rPr>
        <w:t>5</w:t>
      </w:r>
      <w:r w:rsidRPr="00DE19F9">
        <w:rPr>
          <w:b/>
          <w:i/>
          <w:lang w:eastAsia="zh-CN"/>
        </w:rPr>
        <w:t>:</w:t>
      </w:r>
    </w:p>
    <w:p w14:paraId="7298FB26" w14:textId="77777777" w:rsidR="00985A01" w:rsidRPr="00DE19F9" w:rsidRDefault="00985A01" w:rsidP="00985A01">
      <w:pPr>
        <w:pStyle w:val="BodyText"/>
        <w:numPr>
          <w:ilvl w:val="0"/>
          <w:numId w:val="23"/>
        </w:numPr>
        <w:spacing w:before="240"/>
        <w:jc w:val="left"/>
        <w:rPr>
          <w:i/>
          <w:lang w:eastAsia="zh-CN"/>
        </w:rPr>
      </w:pPr>
      <w:r w:rsidRPr="00DE19F9">
        <w:rPr>
          <w:i/>
          <w:lang w:eastAsia="zh-CN"/>
        </w:rPr>
        <w:t>PBCH subcarrier spacing is explicitly indicated in the synchronization signal.</w:t>
      </w:r>
    </w:p>
    <w:p w14:paraId="5AB685F5" w14:textId="77777777" w:rsidR="00A72C6C" w:rsidRDefault="00A72C6C" w:rsidP="00A72C6C">
      <w:pPr>
        <w:keepNext/>
        <w:rPr>
          <w:b/>
          <w:u w:val="single"/>
        </w:rPr>
      </w:pPr>
    </w:p>
    <w:p w14:paraId="383575CB" w14:textId="77777777" w:rsidR="008C5EBD" w:rsidRDefault="008C5EBD" w:rsidP="00A72C6C">
      <w:pPr>
        <w:keepNext/>
        <w:rPr>
          <w:b/>
          <w:u w:val="single"/>
        </w:rPr>
      </w:pPr>
    </w:p>
    <w:p w14:paraId="19F7A9BC" w14:textId="4EB4C460" w:rsidR="008C5EBD" w:rsidRPr="006969BE" w:rsidRDefault="00862C4E" w:rsidP="00DC1451">
      <w:pPr>
        <w:pStyle w:val="Heading1"/>
        <w:ind w:left="0" w:firstLine="0"/>
        <w:rPr>
          <w:rFonts w:cs="Arial"/>
          <w:sz w:val="32"/>
          <w:szCs w:val="32"/>
          <w:lang w:val="en-US"/>
        </w:rPr>
      </w:pPr>
      <w:r>
        <w:rPr>
          <w:rFonts w:cs="Arial"/>
          <w:sz w:val="32"/>
          <w:szCs w:val="32"/>
          <w:lang w:val="en-US"/>
        </w:rPr>
        <w:t>References</w:t>
      </w:r>
    </w:p>
    <w:p w14:paraId="05F30BC7" w14:textId="588F008B" w:rsidR="00C64A66" w:rsidRPr="00DC1451" w:rsidRDefault="00515179" w:rsidP="00DC1451">
      <w:pPr>
        <w:pStyle w:val="ListParagraph"/>
        <w:keepNext/>
        <w:numPr>
          <w:ilvl w:val="0"/>
          <w:numId w:val="20"/>
        </w:numPr>
      </w:pPr>
      <w:bookmarkStart w:id="4" w:name="_Ref474145362"/>
      <w:r w:rsidRPr="00DC1451">
        <w:rPr>
          <w:rFonts w:ascii="Times New Roman" w:hAnsi="Times New Roman"/>
        </w:rPr>
        <w:t>R1-1701519, “Response LS on minimum system information,” RAN WG2</w:t>
      </w:r>
      <w:bookmarkEnd w:id="4"/>
    </w:p>
    <w:p w14:paraId="74A4D551" w14:textId="77777777" w:rsidR="009B0237" w:rsidRPr="00DC1451" w:rsidRDefault="009B0237" w:rsidP="009B0237">
      <w:pPr>
        <w:pStyle w:val="ListParagraph"/>
        <w:keepNext/>
        <w:numPr>
          <w:ilvl w:val="0"/>
          <w:numId w:val="20"/>
        </w:numPr>
        <w:rPr>
          <w:rFonts w:ascii="Times New Roman" w:hAnsi="Times New Roman"/>
        </w:rPr>
      </w:pPr>
      <w:bookmarkStart w:id="5" w:name="_Ref474149800"/>
      <w:r w:rsidRPr="00DC1451">
        <w:rPr>
          <w:rFonts w:ascii="Times New Roman" w:hAnsi="Times New Roman"/>
        </w:rPr>
        <w:t>R1-1702191, “On transmission scheme 2 for DL,” 3GPP TSG RAN WG1 #88, Intel Corp.</w:t>
      </w:r>
      <w:bookmarkEnd w:id="5"/>
    </w:p>
    <w:p w14:paraId="3AE60CEE" w14:textId="77777777" w:rsidR="005A14D7" w:rsidRDefault="005A14D7" w:rsidP="005A14D7">
      <w:pPr>
        <w:keepNext/>
        <w:rPr>
          <w:b/>
          <w:u w:val="single"/>
        </w:rPr>
      </w:pPr>
    </w:p>
    <w:p w14:paraId="1F1B0F5C" w14:textId="77777777" w:rsidR="005A14D7" w:rsidRPr="00DC1451" w:rsidRDefault="005A14D7" w:rsidP="005A14D7">
      <w:pPr>
        <w:keepNext/>
        <w:rPr>
          <w:b/>
          <w:u w:val="single"/>
        </w:rPr>
      </w:pPr>
    </w:p>
    <w:sectPr w:rsidR="005A14D7" w:rsidRPr="00DC1451" w:rsidSect="00D86B37">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144981" w14:textId="77777777" w:rsidR="00E35270" w:rsidRDefault="00E35270">
      <w:r>
        <w:separator/>
      </w:r>
    </w:p>
  </w:endnote>
  <w:endnote w:type="continuationSeparator" w:id="0">
    <w:p w14:paraId="231C686C" w14:textId="77777777" w:rsidR="00E35270" w:rsidRDefault="00E35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A41772" w:rsidRDefault="00A4177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5865E" w14:textId="77777777" w:rsidR="00A41772" w:rsidRDefault="00A4177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A41772" w:rsidRDefault="00A4177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C1451">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C1451">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04F853" w14:textId="77777777" w:rsidR="00E35270" w:rsidRDefault="00E35270">
      <w:r>
        <w:separator/>
      </w:r>
    </w:p>
  </w:footnote>
  <w:footnote w:type="continuationSeparator" w:id="0">
    <w:p w14:paraId="3CDD2968" w14:textId="77777777" w:rsidR="00E35270" w:rsidRDefault="00E352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A41772" w:rsidRDefault="00A4177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494EDF"/>
    <w:multiLevelType w:val="hybridMultilevel"/>
    <w:tmpl w:val="A43AB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22B16DF"/>
    <w:multiLevelType w:val="hybridMultilevel"/>
    <w:tmpl w:val="D7E4D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5409C5"/>
    <w:multiLevelType w:val="hybridMultilevel"/>
    <w:tmpl w:val="AFCA7144"/>
    <w:lvl w:ilvl="0" w:tplc="12D2815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B809C2"/>
    <w:multiLevelType w:val="hybridMultilevel"/>
    <w:tmpl w:val="4C969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13233B"/>
    <w:multiLevelType w:val="hybridMultilevel"/>
    <w:tmpl w:val="95D480F0"/>
    <w:lvl w:ilvl="0" w:tplc="23B0870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A04558"/>
    <w:multiLevelType w:val="hybridMultilevel"/>
    <w:tmpl w:val="0136ED5A"/>
    <w:lvl w:ilvl="0" w:tplc="BF5A67A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2"/>
  </w:num>
  <w:num w:numId="4">
    <w:abstractNumId w:val="14"/>
  </w:num>
  <w:num w:numId="5">
    <w:abstractNumId w:val="6"/>
  </w:num>
  <w:num w:numId="6">
    <w:abstractNumId w:val="17"/>
  </w:num>
  <w:num w:numId="7">
    <w:abstractNumId w:val="3"/>
  </w:num>
  <w:num w:numId="8">
    <w:abstractNumId w:val="16"/>
  </w:num>
  <w:num w:numId="9">
    <w:abstractNumId w:val="21"/>
  </w:num>
  <w:num w:numId="10">
    <w:abstractNumId w:val="1"/>
  </w:num>
  <w:num w:numId="11">
    <w:abstractNumId w:val="23"/>
  </w:num>
  <w:num w:numId="12">
    <w:abstractNumId w:val="22"/>
  </w:num>
  <w:num w:numId="13">
    <w:abstractNumId w:val="19"/>
  </w:num>
  <w:num w:numId="14">
    <w:abstractNumId w:val="8"/>
  </w:num>
  <w:num w:numId="15">
    <w:abstractNumId w:val="10"/>
  </w:num>
  <w:num w:numId="16">
    <w:abstractNumId w:val="11"/>
  </w:num>
  <w:num w:numId="17">
    <w:abstractNumId w:val="5"/>
  </w:num>
  <w:num w:numId="18">
    <w:abstractNumId w:val="20"/>
  </w:num>
  <w:num w:numId="19">
    <w:abstractNumId w:val="12"/>
  </w:num>
  <w:num w:numId="20">
    <w:abstractNumId w:val="18"/>
  </w:num>
  <w:num w:numId="21">
    <w:abstractNumId w:val="7"/>
  </w:num>
  <w:num w:numId="22">
    <w:abstractNumId w:val="4"/>
  </w:num>
  <w:num w:numId="2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437A"/>
    <w:rsid w:val="000947B7"/>
    <w:rsid w:val="00095671"/>
    <w:rsid w:val="00095920"/>
    <w:rsid w:val="00095F53"/>
    <w:rsid w:val="0009612D"/>
    <w:rsid w:val="0009653B"/>
    <w:rsid w:val="0009680E"/>
    <w:rsid w:val="000968D8"/>
    <w:rsid w:val="00096B4C"/>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03C0"/>
    <w:rsid w:val="000C133A"/>
    <w:rsid w:val="000C1DBD"/>
    <w:rsid w:val="000C1F69"/>
    <w:rsid w:val="000C2DE1"/>
    <w:rsid w:val="000C393F"/>
    <w:rsid w:val="000C3987"/>
    <w:rsid w:val="000C3F16"/>
    <w:rsid w:val="000C4C76"/>
    <w:rsid w:val="000C530C"/>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14C"/>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1EE0"/>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74E"/>
    <w:rsid w:val="00241C7B"/>
    <w:rsid w:val="00241FA4"/>
    <w:rsid w:val="002421F2"/>
    <w:rsid w:val="00242B2A"/>
    <w:rsid w:val="00242CAE"/>
    <w:rsid w:val="00243ACD"/>
    <w:rsid w:val="00243DCC"/>
    <w:rsid w:val="002443C2"/>
    <w:rsid w:val="00244606"/>
    <w:rsid w:val="00244924"/>
    <w:rsid w:val="0024534B"/>
    <w:rsid w:val="00245492"/>
    <w:rsid w:val="00245A41"/>
    <w:rsid w:val="00245B70"/>
    <w:rsid w:val="00245D7D"/>
    <w:rsid w:val="00245E39"/>
    <w:rsid w:val="00245FBA"/>
    <w:rsid w:val="00246BBE"/>
    <w:rsid w:val="00246C52"/>
    <w:rsid w:val="00246EB6"/>
    <w:rsid w:val="00247090"/>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143F"/>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371"/>
    <w:rsid w:val="002D13B7"/>
    <w:rsid w:val="002D15C0"/>
    <w:rsid w:val="002D2057"/>
    <w:rsid w:val="002D2B4E"/>
    <w:rsid w:val="002D3968"/>
    <w:rsid w:val="002D425A"/>
    <w:rsid w:val="002D4322"/>
    <w:rsid w:val="002D4A54"/>
    <w:rsid w:val="002D4D90"/>
    <w:rsid w:val="002D4E37"/>
    <w:rsid w:val="002D52E0"/>
    <w:rsid w:val="002D5DEA"/>
    <w:rsid w:val="002D5E81"/>
    <w:rsid w:val="002D6127"/>
    <w:rsid w:val="002D68C3"/>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3D1"/>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3DA"/>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118"/>
    <w:rsid w:val="003562D7"/>
    <w:rsid w:val="00356353"/>
    <w:rsid w:val="003567C9"/>
    <w:rsid w:val="00356CEC"/>
    <w:rsid w:val="003572DE"/>
    <w:rsid w:val="00357659"/>
    <w:rsid w:val="00357712"/>
    <w:rsid w:val="00357D8A"/>
    <w:rsid w:val="00357F31"/>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ABD"/>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42BB"/>
    <w:rsid w:val="003A45FB"/>
    <w:rsid w:val="003A48FC"/>
    <w:rsid w:val="003A49BE"/>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3BB"/>
    <w:rsid w:val="003C07D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19CC"/>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1230"/>
    <w:rsid w:val="004113EB"/>
    <w:rsid w:val="004118C9"/>
    <w:rsid w:val="0041195D"/>
    <w:rsid w:val="00412697"/>
    <w:rsid w:val="00412F8D"/>
    <w:rsid w:val="00413369"/>
    <w:rsid w:val="00413451"/>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CC5"/>
    <w:rsid w:val="00453DEF"/>
    <w:rsid w:val="004543E4"/>
    <w:rsid w:val="004548E5"/>
    <w:rsid w:val="00454F08"/>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28A"/>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133C"/>
    <w:rsid w:val="004F13D2"/>
    <w:rsid w:val="004F13F7"/>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605"/>
    <w:rsid w:val="00512747"/>
    <w:rsid w:val="00513F8F"/>
    <w:rsid w:val="00514455"/>
    <w:rsid w:val="005147E7"/>
    <w:rsid w:val="00514882"/>
    <w:rsid w:val="005149A2"/>
    <w:rsid w:val="00514CEE"/>
    <w:rsid w:val="005150E4"/>
    <w:rsid w:val="00515179"/>
    <w:rsid w:val="00515907"/>
    <w:rsid w:val="00515E2B"/>
    <w:rsid w:val="00516B96"/>
    <w:rsid w:val="005173A4"/>
    <w:rsid w:val="0051770E"/>
    <w:rsid w:val="0052001B"/>
    <w:rsid w:val="005205C8"/>
    <w:rsid w:val="00521D65"/>
    <w:rsid w:val="005221A4"/>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4D7"/>
    <w:rsid w:val="005A1D03"/>
    <w:rsid w:val="005A1DB5"/>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2C6"/>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033D"/>
    <w:rsid w:val="005E1385"/>
    <w:rsid w:val="005E1393"/>
    <w:rsid w:val="005E1A58"/>
    <w:rsid w:val="005E1C06"/>
    <w:rsid w:val="005E2E2C"/>
    <w:rsid w:val="005E35FD"/>
    <w:rsid w:val="005E383F"/>
    <w:rsid w:val="005E48F7"/>
    <w:rsid w:val="005E4F80"/>
    <w:rsid w:val="005E4FBD"/>
    <w:rsid w:val="005E5009"/>
    <w:rsid w:val="005E5563"/>
    <w:rsid w:val="005E580A"/>
    <w:rsid w:val="005E610E"/>
    <w:rsid w:val="005E66F1"/>
    <w:rsid w:val="005E6888"/>
    <w:rsid w:val="005E6AFB"/>
    <w:rsid w:val="005E7698"/>
    <w:rsid w:val="005F031E"/>
    <w:rsid w:val="005F0B4C"/>
    <w:rsid w:val="005F0B53"/>
    <w:rsid w:val="005F0C46"/>
    <w:rsid w:val="005F1FE4"/>
    <w:rsid w:val="005F2E88"/>
    <w:rsid w:val="005F327D"/>
    <w:rsid w:val="005F369B"/>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CB4"/>
    <w:rsid w:val="00614D1E"/>
    <w:rsid w:val="0061524B"/>
    <w:rsid w:val="0061565F"/>
    <w:rsid w:val="00615BDB"/>
    <w:rsid w:val="00616885"/>
    <w:rsid w:val="00617081"/>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5E05"/>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3EA1"/>
    <w:rsid w:val="006943ED"/>
    <w:rsid w:val="0069447C"/>
    <w:rsid w:val="006949AD"/>
    <w:rsid w:val="00695E95"/>
    <w:rsid w:val="00696244"/>
    <w:rsid w:val="006969D6"/>
    <w:rsid w:val="0069755C"/>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6D1E"/>
    <w:rsid w:val="006B725C"/>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687"/>
    <w:rsid w:val="007218A9"/>
    <w:rsid w:val="0072190B"/>
    <w:rsid w:val="00721E1D"/>
    <w:rsid w:val="00722B72"/>
    <w:rsid w:val="00723701"/>
    <w:rsid w:val="00723EC3"/>
    <w:rsid w:val="00724426"/>
    <w:rsid w:val="0072499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7A9"/>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197D"/>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937"/>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6C5E"/>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8A5"/>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4F42"/>
    <w:rsid w:val="00845F51"/>
    <w:rsid w:val="00845F6D"/>
    <w:rsid w:val="00846106"/>
    <w:rsid w:val="008462E7"/>
    <w:rsid w:val="00846467"/>
    <w:rsid w:val="00846CC4"/>
    <w:rsid w:val="00847991"/>
    <w:rsid w:val="00847C4E"/>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2C4E"/>
    <w:rsid w:val="00863479"/>
    <w:rsid w:val="00863AA0"/>
    <w:rsid w:val="00864A9F"/>
    <w:rsid w:val="00864C62"/>
    <w:rsid w:val="008650AB"/>
    <w:rsid w:val="00865696"/>
    <w:rsid w:val="00865D4C"/>
    <w:rsid w:val="00865DE1"/>
    <w:rsid w:val="00866453"/>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46"/>
    <w:rsid w:val="008B35ED"/>
    <w:rsid w:val="008B41EF"/>
    <w:rsid w:val="008B4230"/>
    <w:rsid w:val="008B447F"/>
    <w:rsid w:val="008B4B0D"/>
    <w:rsid w:val="008B4B33"/>
    <w:rsid w:val="008B5577"/>
    <w:rsid w:val="008B60E9"/>
    <w:rsid w:val="008B60ED"/>
    <w:rsid w:val="008B6E5C"/>
    <w:rsid w:val="008B766A"/>
    <w:rsid w:val="008B7A0E"/>
    <w:rsid w:val="008C1393"/>
    <w:rsid w:val="008C2426"/>
    <w:rsid w:val="008C2453"/>
    <w:rsid w:val="008C26B4"/>
    <w:rsid w:val="008C28BA"/>
    <w:rsid w:val="008C3240"/>
    <w:rsid w:val="008C4188"/>
    <w:rsid w:val="008C4AED"/>
    <w:rsid w:val="008C4B47"/>
    <w:rsid w:val="008C59D5"/>
    <w:rsid w:val="008C5B10"/>
    <w:rsid w:val="008C5EBD"/>
    <w:rsid w:val="008C6C7A"/>
    <w:rsid w:val="008C6F4F"/>
    <w:rsid w:val="008C74CC"/>
    <w:rsid w:val="008C7A66"/>
    <w:rsid w:val="008C7F77"/>
    <w:rsid w:val="008D02CB"/>
    <w:rsid w:val="008D0459"/>
    <w:rsid w:val="008D05D2"/>
    <w:rsid w:val="008D13DC"/>
    <w:rsid w:val="008D149D"/>
    <w:rsid w:val="008D1D1E"/>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752"/>
    <w:rsid w:val="0092786F"/>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62D8"/>
    <w:rsid w:val="00946388"/>
    <w:rsid w:val="0094657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4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A01"/>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0237"/>
    <w:rsid w:val="009B3221"/>
    <w:rsid w:val="009B346F"/>
    <w:rsid w:val="009B3745"/>
    <w:rsid w:val="009B3C79"/>
    <w:rsid w:val="009B4821"/>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4CED"/>
    <w:rsid w:val="009E53AA"/>
    <w:rsid w:val="009E53D6"/>
    <w:rsid w:val="009E5656"/>
    <w:rsid w:val="009E5A2E"/>
    <w:rsid w:val="009E5AB4"/>
    <w:rsid w:val="009E605E"/>
    <w:rsid w:val="009E6221"/>
    <w:rsid w:val="009E641D"/>
    <w:rsid w:val="009E6B61"/>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6AA4"/>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E26"/>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4882"/>
    <w:rsid w:val="00A44AA5"/>
    <w:rsid w:val="00A44E28"/>
    <w:rsid w:val="00A4570E"/>
    <w:rsid w:val="00A45A3B"/>
    <w:rsid w:val="00A463E7"/>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0AA0"/>
    <w:rsid w:val="00A7141F"/>
    <w:rsid w:val="00A71D6B"/>
    <w:rsid w:val="00A71F1F"/>
    <w:rsid w:val="00A72C6C"/>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BD0"/>
    <w:rsid w:val="00B04D36"/>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1DD"/>
    <w:rsid w:val="00B137BE"/>
    <w:rsid w:val="00B137D3"/>
    <w:rsid w:val="00B1388A"/>
    <w:rsid w:val="00B13E42"/>
    <w:rsid w:val="00B13F1F"/>
    <w:rsid w:val="00B147CC"/>
    <w:rsid w:val="00B150B5"/>
    <w:rsid w:val="00B15141"/>
    <w:rsid w:val="00B151C6"/>
    <w:rsid w:val="00B15A0F"/>
    <w:rsid w:val="00B167A6"/>
    <w:rsid w:val="00B16B5F"/>
    <w:rsid w:val="00B1736C"/>
    <w:rsid w:val="00B17476"/>
    <w:rsid w:val="00B17744"/>
    <w:rsid w:val="00B20057"/>
    <w:rsid w:val="00B2043A"/>
    <w:rsid w:val="00B20E2B"/>
    <w:rsid w:val="00B21016"/>
    <w:rsid w:val="00B215F9"/>
    <w:rsid w:val="00B21CA7"/>
    <w:rsid w:val="00B21D72"/>
    <w:rsid w:val="00B21D85"/>
    <w:rsid w:val="00B21DF9"/>
    <w:rsid w:val="00B2262B"/>
    <w:rsid w:val="00B233A9"/>
    <w:rsid w:val="00B239CC"/>
    <w:rsid w:val="00B24F49"/>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135"/>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A08"/>
    <w:rsid w:val="00BD2F55"/>
    <w:rsid w:val="00BD317C"/>
    <w:rsid w:val="00BD3837"/>
    <w:rsid w:val="00BD386B"/>
    <w:rsid w:val="00BD3C69"/>
    <w:rsid w:val="00BD3D7A"/>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9FE"/>
    <w:rsid w:val="00BF3BAD"/>
    <w:rsid w:val="00BF3C10"/>
    <w:rsid w:val="00BF3FC2"/>
    <w:rsid w:val="00BF3FFA"/>
    <w:rsid w:val="00BF4462"/>
    <w:rsid w:val="00BF46F1"/>
    <w:rsid w:val="00BF4B69"/>
    <w:rsid w:val="00BF56A8"/>
    <w:rsid w:val="00BF60E3"/>
    <w:rsid w:val="00BF6C19"/>
    <w:rsid w:val="00BF6FBF"/>
    <w:rsid w:val="00BF70A1"/>
    <w:rsid w:val="00BF70F8"/>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7FB"/>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47C46"/>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A66"/>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3F92"/>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864"/>
    <w:rsid w:val="00D10B57"/>
    <w:rsid w:val="00D10DEB"/>
    <w:rsid w:val="00D11873"/>
    <w:rsid w:val="00D11C73"/>
    <w:rsid w:val="00D11EEE"/>
    <w:rsid w:val="00D11FAE"/>
    <w:rsid w:val="00D11FBD"/>
    <w:rsid w:val="00D12440"/>
    <w:rsid w:val="00D12487"/>
    <w:rsid w:val="00D126E6"/>
    <w:rsid w:val="00D12B75"/>
    <w:rsid w:val="00D13880"/>
    <w:rsid w:val="00D13BBC"/>
    <w:rsid w:val="00D13CCD"/>
    <w:rsid w:val="00D14204"/>
    <w:rsid w:val="00D14EC6"/>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490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1FC"/>
    <w:rsid w:val="00D8036A"/>
    <w:rsid w:val="00D80AB8"/>
    <w:rsid w:val="00D80C93"/>
    <w:rsid w:val="00D80CCB"/>
    <w:rsid w:val="00D81307"/>
    <w:rsid w:val="00D817FD"/>
    <w:rsid w:val="00D81D5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21BE"/>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494"/>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1120"/>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F08"/>
    <w:rsid w:val="00E35270"/>
    <w:rsid w:val="00E35F47"/>
    <w:rsid w:val="00E362BC"/>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696"/>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6DD9"/>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67D"/>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5C1"/>
    <w:rsid w:val="00F4678D"/>
    <w:rsid w:val="00F467B0"/>
    <w:rsid w:val="00F46C63"/>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C57"/>
    <w:rsid w:val="00F64F9F"/>
    <w:rsid w:val="00F65931"/>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545C"/>
    <w:rsid w:val="00FC553E"/>
    <w:rsid w:val="00FC65A0"/>
    <w:rsid w:val="00FC6B41"/>
    <w:rsid w:val="00FC7308"/>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145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DC14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DC1451"/>
    <w:pPr>
      <w:pBdr>
        <w:top w:val="none" w:sz="0" w:space="0" w:color="auto"/>
      </w:pBdr>
      <w:spacing w:before="180"/>
      <w:outlineLvl w:val="1"/>
    </w:pPr>
    <w:rPr>
      <w:sz w:val="32"/>
    </w:rPr>
  </w:style>
  <w:style w:type="paragraph" w:styleId="Heading3">
    <w:name w:val="heading 3"/>
    <w:basedOn w:val="Heading2"/>
    <w:next w:val="Normal"/>
    <w:link w:val="Heading3Char"/>
    <w:qFormat/>
    <w:rsid w:val="00DC1451"/>
    <w:pPr>
      <w:spacing w:before="120"/>
      <w:outlineLvl w:val="2"/>
    </w:pPr>
    <w:rPr>
      <w:sz w:val="28"/>
    </w:rPr>
  </w:style>
  <w:style w:type="paragraph" w:styleId="Heading4">
    <w:name w:val="heading 4"/>
    <w:aliases w:val="h4"/>
    <w:basedOn w:val="Heading3"/>
    <w:next w:val="Normal"/>
    <w:link w:val="Heading4Char"/>
    <w:qFormat/>
    <w:rsid w:val="00DC1451"/>
    <w:pPr>
      <w:ind w:left="1418" w:hanging="1418"/>
      <w:outlineLvl w:val="3"/>
    </w:pPr>
    <w:rPr>
      <w:sz w:val="24"/>
    </w:rPr>
  </w:style>
  <w:style w:type="paragraph" w:styleId="Heading5">
    <w:name w:val="heading 5"/>
    <w:basedOn w:val="Heading4"/>
    <w:next w:val="Normal"/>
    <w:link w:val="Heading5Char"/>
    <w:qFormat/>
    <w:rsid w:val="00DC1451"/>
    <w:pPr>
      <w:ind w:left="1701" w:hanging="1701"/>
      <w:outlineLvl w:val="4"/>
    </w:pPr>
    <w:rPr>
      <w:sz w:val="22"/>
    </w:rPr>
  </w:style>
  <w:style w:type="paragraph" w:styleId="Heading6">
    <w:name w:val="heading 6"/>
    <w:basedOn w:val="H6"/>
    <w:next w:val="Normal"/>
    <w:qFormat/>
    <w:rsid w:val="00DC1451"/>
    <w:pPr>
      <w:outlineLvl w:val="5"/>
    </w:pPr>
  </w:style>
  <w:style w:type="paragraph" w:styleId="Heading7">
    <w:name w:val="heading 7"/>
    <w:basedOn w:val="H6"/>
    <w:next w:val="Normal"/>
    <w:qFormat/>
    <w:rsid w:val="00DC1451"/>
    <w:pPr>
      <w:outlineLvl w:val="6"/>
    </w:pPr>
  </w:style>
  <w:style w:type="paragraph" w:styleId="Heading8">
    <w:name w:val="heading 8"/>
    <w:basedOn w:val="Heading1"/>
    <w:next w:val="Normal"/>
    <w:qFormat/>
    <w:rsid w:val="00DC1451"/>
    <w:pPr>
      <w:ind w:left="0" w:firstLine="0"/>
      <w:outlineLvl w:val="7"/>
    </w:pPr>
  </w:style>
  <w:style w:type="paragraph" w:styleId="Heading9">
    <w:name w:val="heading 9"/>
    <w:basedOn w:val="Heading8"/>
    <w:next w:val="Normal"/>
    <w:qFormat/>
    <w:rsid w:val="00DC1451"/>
    <w:pPr>
      <w:outlineLvl w:val="8"/>
    </w:pPr>
  </w:style>
  <w:style w:type="character" w:default="1" w:styleId="DefaultParagraphFont">
    <w:name w:val="Default Paragraph Font"/>
    <w:uiPriority w:val="1"/>
    <w:semiHidden/>
    <w:unhideWhenUsed/>
    <w:rsid w:val="00DC145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C1451"/>
  </w:style>
  <w:style w:type="paragraph" w:styleId="TOC8">
    <w:name w:val="toc 8"/>
    <w:basedOn w:val="TOC1"/>
    <w:semiHidden/>
    <w:rsid w:val="00DC1451"/>
    <w:pPr>
      <w:spacing w:before="180"/>
      <w:ind w:left="2693" w:hanging="2693"/>
    </w:pPr>
    <w:rPr>
      <w:b/>
    </w:rPr>
  </w:style>
  <w:style w:type="paragraph" w:styleId="TOC1">
    <w:name w:val="toc 1"/>
    <w:semiHidden/>
    <w:rsid w:val="00DC145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C14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C1451"/>
    <w:pPr>
      <w:ind w:left="1701" w:hanging="1701"/>
    </w:pPr>
  </w:style>
  <w:style w:type="paragraph" w:styleId="TOC4">
    <w:name w:val="toc 4"/>
    <w:basedOn w:val="TOC3"/>
    <w:semiHidden/>
    <w:rsid w:val="00DC1451"/>
    <w:pPr>
      <w:ind w:left="1418" w:hanging="1418"/>
    </w:pPr>
  </w:style>
  <w:style w:type="paragraph" w:styleId="TOC3">
    <w:name w:val="toc 3"/>
    <w:basedOn w:val="TOC2"/>
    <w:semiHidden/>
    <w:rsid w:val="00DC1451"/>
    <w:pPr>
      <w:ind w:left="1134" w:hanging="1134"/>
    </w:pPr>
  </w:style>
  <w:style w:type="paragraph" w:styleId="TOC2">
    <w:name w:val="toc 2"/>
    <w:basedOn w:val="TOC1"/>
    <w:semiHidden/>
    <w:rsid w:val="00DC1451"/>
    <w:pPr>
      <w:keepNext w:val="0"/>
      <w:spacing w:before="0"/>
      <w:ind w:left="851" w:hanging="851"/>
    </w:pPr>
    <w:rPr>
      <w:sz w:val="20"/>
    </w:rPr>
  </w:style>
  <w:style w:type="paragraph" w:styleId="Index2">
    <w:name w:val="index 2"/>
    <w:basedOn w:val="Index1"/>
    <w:semiHidden/>
    <w:rsid w:val="00DC1451"/>
    <w:pPr>
      <w:ind w:left="284"/>
    </w:pPr>
  </w:style>
  <w:style w:type="paragraph" w:styleId="Index1">
    <w:name w:val="index 1"/>
    <w:basedOn w:val="Normal"/>
    <w:semiHidden/>
    <w:rsid w:val="00DC1451"/>
    <w:pPr>
      <w:keepLines/>
      <w:spacing w:after="0"/>
    </w:pPr>
  </w:style>
  <w:style w:type="paragraph" w:customStyle="1" w:styleId="ZH">
    <w:name w:val="ZH"/>
    <w:rsid w:val="00DC145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C1451"/>
    <w:pPr>
      <w:outlineLvl w:val="9"/>
    </w:pPr>
  </w:style>
  <w:style w:type="paragraph" w:styleId="ListNumber2">
    <w:name w:val="List Number 2"/>
    <w:basedOn w:val="ListNumber"/>
    <w:rsid w:val="00DC145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DC1451"/>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C1451"/>
    <w:rPr>
      <w:b/>
      <w:position w:val="6"/>
      <w:sz w:val="16"/>
    </w:rPr>
  </w:style>
  <w:style w:type="paragraph" w:styleId="FootnoteText">
    <w:name w:val="footnote text"/>
    <w:basedOn w:val="Normal"/>
    <w:semiHidden/>
    <w:rsid w:val="00DC1451"/>
    <w:pPr>
      <w:keepLines/>
      <w:spacing w:after="0"/>
      <w:ind w:left="454" w:hanging="454"/>
    </w:pPr>
    <w:rPr>
      <w:sz w:val="16"/>
    </w:rPr>
  </w:style>
  <w:style w:type="paragraph" w:customStyle="1" w:styleId="TAH">
    <w:name w:val="TAH"/>
    <w:basedOn w:val="TAC"/>
    <w:rsid w:val="00DC1451"/>
    <w:rPr>
      <w:b/>
    </w:rPr>
  </w:style>
  <w:style w:type="paragraph" w:customStyle="1" w:styleId="TAC">
    <w:name w:val="TAC"/>
    <w:basedOn w:val="TAL"/>
    <w:rsid w:val="00DC1451"/>
    <w:pPr>
      <w:jc w:val="center"/>
    </w:pPr>
  </w:style>
  <w:style w:type="paragraph" w:customStyle="1" w:styleId="TF">
    <w:name w:val="TF"/>
    <w:basedOn w:val="TH"/>
    <w:rsid w:val="00DC1451"/>
    <w:pPr>
      <w:keepNext w:val="0"/>
      <w:spacing w:before="0" w:after="240"/>
    </w:pPr>
  </w:style>
  <w:style w:type="paragraph" w:customStyle="1" w:styleId="NO">
    <w:name w:val="NO"/>
    <w:basedOn w:val="Normal"/>
    <w:rsid w:val="00DC1451"/>
    <w:pPr>
      <w:keepLines/>
      <w:ind w:left="1135" w:hanging="851"/>
    </w:pPr>
  </w:style>
  <w:style w:type="paragraph" w:styleId="TOC9">
    <w:name w:val="toc 9"/>
    <w:basedOn w:val="TOC8"/>
    <w:semiHidden/>
    <w:rsid w:val="00DC1451"/>
    <w:pPr>
      <w:ind w:left="1418" w:hanging="1418"/>
    </w:pPr>
  </w:style>
  <w:style w:type="paragraph" w:customStyle="1" w:styleId="EX">
    <w:name w:val="EX"/>
    <w:basedOn w:val="Normal"/>
    <w:rsid w:val="00DC1451"/>
    <w:pPr>
      <w:keepLines/>
      <w:ind w:left="1702" w:hanging="1418"/>
    </w:pPr>
  </w:style>
  <w:style w:type="paragraph" w:customStyle="1" w:styleId="FP">
    <w:name w:val="FP"/>
    <w:basedOn w:val="Normal"/>
    <w:rsid w:val="00DC1451"/>
    <w:pPr>
      <w:spacing w:after="0"/>
    </w:pPr>
  </w:style>
  <w:style w:type="paragraph" w:customStyle="1" w:styleId="LD">
    <w:name w:val="LD"/>
    <w:rsid w:val="00DC145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C1451"/>
    <w:pPr>
      <w:spacing w:after="0"/>
    </w:pPr>
  </w:style>
  <w:style w:type="paragraph" w:customStyle="1" w:styleId="EW">
    <w:name w:val="EW"/>
    <w:basedOn w:val="EX"/>
    <w:rsid w:val="00DC1451"/>
    <w:pPr>
      <w:spacing w:after="0"/>
    </w:pPr>
  </w:style>
  <w:style w:type="paragraph" w:styleId="TOC6">
    <w:name w:val="toc 6"/>
    <w:basedOn w:val="TOC5"/>
    <w:next w:val="Normal"/>
    <w:semiHidden/>
    <w:rsid w:val="00DC1451"/>
    <w:pPr>
      <w:ind w:left="1985" w:hanging="1985"/>
    </w:pPr>
  </w:style>
  <w:style w:type="paragraph" w:styleId="TOC7">
    <w:name w:val="toc 7"/>
    <w:basedOn w:val="TOC6"/>
    <w:next w:val="Normal"/>
    <w:semiHidden/>
    <w:rsid w:val="00DC1451"/>
    <w:pPr>
      <w:ind w:left="2268" w:hanging="2268"/>
    </w:pPr>
  </w:style>
  <w:style w:type="paragraph" w:styleId="ListBullet2">
    <w:name w:val="List Bullet 2"/>
    <w:basedOn w:val="ListBullet"/>
    <w:rsid w:val="00DC1451"/>
    <w:pPr>
      <w:ind w:left="851"/>
    </w:pPr>
  </w:style>
  <w:style w:type="paragraph" w:styleId="ListBullet3">
    <w:name w:val="List Bullet 3"/>
    <w:basedOn w:val="ListBullet2"/>
    <w:rsid w:val="00DC1451"/>
    <w:pPr>
      <w:ind w:left="1135"/>
    </w:pPr>
  </w:style>
  <w:style w:type="paragraph" w:styleId="ListNumber">
    <w:name w:val="List Number"/>
    <w:basedOn w:val="List"/>
    <w:rsid w:val="00DC1451"/>
  </w:style>
  <w:style w:type="paragraph" w:customStyle="1" w:styleId="EQ">
    <w:name w:val="EQ"/>
    <w:basedOn w:val="Normal"/>
    <w:next w:val="Normal"/>
    <w:rsid w:val="00DC1451"/>
    <w:pPr>
      <w:keepLines/>
      <w:tabs>
        <w:tab w:val="center" w:pos="4536"/>
        <w:tab w:val="right" w:pos="9072"/>
      </w:tabs>
    </w:pPr>
    <w:rPr>
      <w:noProof/>
    </w:rPr>
  </w:style>
  <w:style w:type="paragraph" w:customStyle="1" w:styleId="TH">
    <w:name w:val="TH"/>
    <w:basedOn w:val="Normal"/>
    <w:rsid w:val="00DC1451"/>
    <w:pPr>
      <w:keepNext/>
      <w:keepLines/>
      <w:spacing w:before="60"/>
      <w:jc w:val="center"/>
    </w:pPr>
    <w:rPr>
      <w:rFonts w:ascii="Arial" w:hAnsi="Arial"/>
      <w:b/>
    </w:rPr>
  </w:style>
  <w:style w:type="paragraph" w:customStyle="1" w:styleId="NF">
    <w:name w:val="NF"/>
    <w:basedOn w:val="NO"/>
    <w:rsid w:val="00DC1451"/>
    <w:pPr>
      <w:keepNext/>
      <w:spacing w:after="0"/>
    </w:pPr>
    <w:rPr>
      <w:rFonts w:ascii="Arial" w:hAnsi="Arial"/>
      <w:sz w:val="18"/>
    </w:rPr>
  </w:style>
  <w:style w:type="paragraph" w:customStyle="1" w:styleId="PL">
    <w:name w:val="PL"/>
    <w:link w:val="PLChar"/>
    <w:rsid w:val="00DC14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C1451"/>
    <w:pPr>
      <w:jc w:val="right"/>
    </w:pPr>
  </w:style>
  <w:style w:type="paragraph" w:customStyle="1" w:styleId="H6">
    <w:name w:val="H6"/>
    <w:basedOn w:val="Heading5"/>
    <w:next w:val="Normal"/>
    <w:rsid w:val="00DC1451"/>
    <w:pPr>
      <w:ind w:left="1985" w:hanging="1985"/>
      <w:outlineLvl w:val="9"/>
    </w:pPr>
    <w:rPr>
      <w:sz w:val="20"/>
    </w:rPr>
  </w:style>
  <w:style w:type="paragraph" w:customStyle="1" w:styleId="TAN">
    <w:name w:val="TAN"/>
    <w:basedOn w:val="TAL"/>
    <w:rsid w:val="00DC1451"/>
    <w:pPr>
      <w:ind w:left="851" w:hanging="851"/>
    </w:pPr>
  </w:style>
  <w:style w:type="paragraph" w:customStyle="1" w:styleId="TAL">
    <w:name w:val="TAL"/>
    <w:basedOn w:val="Normal"/>
    <w:rsid w:val="00DC1451"/>
    <w:pPr>
      <w:keepNext/>
      <w:keepLines/>
      <w:spacing w:after="0"/>
    </w:pPr>
    <w:rPr>
      <w:rFonts w:ascii="Arial" w:hAnsi="Arial"/>
      <w:sz w:val="18"/>
    </w:rPr>
  </w:style>
  <w:style w:type="paragraph" w:customStyle="1" w:styleId="ZA">
    <w:name w:val="ZA"/>
    <w:rsid w:val="00DC14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C14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C145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C14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C1451"/>
    <w:pPr>
      <w:framePr w:wrap="notBeside" w:y="16161"/>
    </w:pPr>
  </w:style>
  <w:style w:type="character" w:customStyle="1" w:styleId="ZGSM">
    <w:name w:val="ZGSM"/>
    <w:rsid w:val="00DC1451"/>
  </w:style>
  <w:style w:type="paragraph" w:styleId="List2">
    <w:name w:val="List 2"/>
    <w:basedOn w:val="List"/>
    <w:rsid w:val="00DC1451"/>
    <w:pPr>
      <w:ind w:left="851"/>
    </w:pPr>
  </w:style>
  <w:style w:type="paragraph" w:customStyle="1" w:styleId="ZG">
    <w:name w:val="ZG"/>
    <w:rsid w:val="00DC145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C1451"/>
    <w:pPr>
      <w:ind w:left="1135"/>
    </w:pPr>
  </w:style>
  <w:style w:type="paragraph" w:styleId="List4">
    <w:name w:val="List 4"/>
    <w:basedOn w:val="List3"/>
    <w:rsid w:val="00DC1451"/>
    <w:pPr>
      <w:ind w:left="1418"/>
    </w:pPr>
  </w:style>
  <w:style w:type="paragraph" w:styleId="List5">
    <w:name w:val="List 5"/>
    <w:basedOn w:val="List4"/>
    <w:rsid w:val="00DC1451"/>
    <w:pPr>
      <w:ind w:left="1702"/>
    </w:pPr>
  </w:style>
  <w:style w:type="paragraph" w:customStyle="1" w:styleId="EditorsNote">
    <w:name w:val="Editor's Note"/>
    <w:basedOn w:val="NO"/>
    <w:rsid w:val="00DC1451"/>
    <w:rPr>
      <w:color w:val="FF0000"/>
    </w:rPr>
  </w:style>
  <w:style w:type="paragraph" w:styleId="List">
    <w:name w:val="List"/>
    <w:basedOn w:val="Normal"/>
    <w:rsid w:val="00DC1451"/>
    <w:pPr>
      <w:ind w:left="568" w:hanging="284"/>
    </w:pPr>
  </w:style>
  <w:style w:type="paragraph" w:styleId="ListBullet">
    <w:name w:val="List Bullet"/>
    <w:basedOn w:val="List"/>
    <w:rsid w:val="00DC1451"/>
  </w:style>
  <w:style w:type="paragraph" w:styleId="ListBullet4">
    <w:name w:val="List Bullet 4"/>
    <w:basedOn w:val="ListBullet3"/>
    <w:rsid w:val="00DC1451"/>
    <w:pPr>
      <w:ind w:left="1418"/>
    </w:pPr>
  </w:style>
  <w:style w:type="paragraph" w:styleId="ListBullet5">
    <w:name w:val="List Bullet 5"/>
    <w:basedOn w:val="ListBullet4"/>
    <w:rsid w:val="00DC1451"/>
    <w:pPr>
      <w:ind w:left="1702"/>
    </w:pPr>
  </w:style>
  <w:style w:type="paragraph" w:customStyle="1" w:styleId="B1">
    <w:name w:val="B1"/>
    <w:basedOn w:val="List"/>
    <w:rsid w:val="00DC1451"/>
  </w:style>
  <w:style w:type="paragraph" w:customStyle="1" w:styleId="B2">
    <w:name w:val="B2"/>
    <w:basedOn w:val="List2"/>
    <w:rsid w:val="00DC1451"/>
  </w:style>
  <w:style w:type="paragraph" w:customStyle="1" w:styleId="B3">
    <w:name w:val="B3"/>
    <w:basedOn w:val="List3"/>
    <w:rsid w:val="00DC1451"/>
  </w:style>
  <w:style w:type="paragraph" w:customStyle="1" w:styleId="B4">
    <w:name w:val="B4"/>
    <w:basedOn w:val="List4"/>
    <w:rsid w:val="00DC1451"/>
  </w:style>
  <w:style w:type="paragraph" w:customStyle="1" w:styleId="B5">
    <w:name w:val="B5"/>
    <w:basedOn w:val="List5"/>
    <w:rsid w:val="00DC1451"/>
  </w:style>
  <w:style w:type="paragraph" w:styleId="Footer">
    <w:name w:val="footer"/>
    <w:basedOn w:val="Header"/>
    <w:link w:val="FooterChar"/>
    <w:uiPriority w:val="99"/>
    <w:rsid w:val="00DC1451"/>
    <w:pPr>
      <w:jc w:val="center"/>
    </w:pPr>
    <w:rPr>
      <w:i/>
    </w:rPr>
  </w:style>
  <w:style w:type="paragraph" w:customStyle="1" w:styleId="ZTD">
    <w:name w:val="ZTD"/>
    <w:basedOn w:val="ZB"/>
    <w:rsid w:val="00DC1451"/>
    <w:pPr>
      <w:framePr w:hRule="auto" w:wrap="notBeside" w:y="852"/>
    </w:pPr>
    <w:rPr>
      <w:i w:val="0"/>
      <w:sz w:val="40"/>
    </w:rPr>
  </w:style>
  <w:style w:type="character" w:customStyle="1" w:styleId="MTEquationSection">
    <w:name w:val="MTEquationSection"/>
    <w:rsid w:val="00DC1451"/>
    <w:rPr>
      <w:rFonts w:ascii="Arial" w:hAnsi="Arial"/>
      <w:vanish w:val="0"/>
      <w:color w:val="FF0000"/>
      <w:sz w:val="24"/>
    </w:rPr>
  </w:style>
  <w:style w:type="paragraph" w:styleId="BodyText3">
    <w:name w:val="Body Text 3"/>
    <w:basedOn w:val="Normal"/>
    <w:rsid w:val="00DC1451"/>
    <w:rPr>
      <w:i/>
    </w:rPr>
  </w:style>
  <w:style w:type="paragraph" w:styleId="DocumentMap">
    <w:name w:val="Document Map"/>
    <w:basedOn w:val="Normal"/>
    <w:semiHidden/>
    <w:rsid w:val="00DC1451"/>
    <w:pPr>
      <w:shd w:val="clear" w:color="auto" w:fill="000080"/>
    </w:pPr>
    <w:rPr>
      <w:rFonts w:ascii="Tahoma" w:hAnsi="Tahoma"/>
    </w:rPr>
  </w:style>
  <w:style w:type="paragraph" w:customStyle="1" w:styleId="Bulletedo1">
    <w:name w:val="Bulleted o 1"/>
    <w:basedOn w:val="Normal"/>
    <w:rsid w:val="00DC1451"/>
    <w:pPr>
      <w:numPr>
        <w:numId w:val="1"/>
      </w:numPr>
    </w:pPr>
  </w:style>
  <w:style w:type="paragraph" w:customStyle="1" w:styleId="text">
    <w:name w:val="text"/>
    <w:basedOn w:val="Normal"/>
    <w:rsid w:val="00DC1451"/>
    <w:pPr>
      <w:spacing w:after="240"/>
      <w:jc w:val="both"/>
    </w:pPr>
    <w:rPr>
      <w:sz w:val="24"/>
      <w:lang w:eastAsia="zh-CN"/>
    </w:rPr>
  </w:style>
  <w:style w:type="paragraph" w:customStyle="1" w:styleId="Equation">
    <w:name w:val="Equation"/>
    <w:basedOn w:val="Normal"/>
    <w:next w:val="Normal"/>
    <w:rsid w:val="00DC1451"/>
    <w:pPr>
      <w:tabs>
        <w:tab w:val="right" w:pos="10206"/>
      </w:tabs>
      <w:spacing w:after="220"/>
      <w:ind w:left="1298"/>
    </w:pPr>
    <w:rPr>
      <w:rFonts w:ascii="Arial" w:hAnsi="Arial"/>
      <w:sz w:val="22"/>
      <w:lang w:eastAsia="zh-CN"/>
    </w:rPr>
  </w:style>
  <w:style w:type="paragraph" w:customStyle="1" w:styleId="00BodyText">
    <w:name w:val="00 BodyText"/>
    <w:basedOn w:val="Normal"/>
    <w:rsid w:val="00DC1451"/>
    <w:pPr>
      <w:spacing w:after="220"/>
    </w:pPr>
    <w:rPr>
      <w:rFonts w:ascii="Arial" w:hAnsi="Arial"/>
      <w:sz w:val="22"/>
    </w:rPr>
  </w:style>
  <w:style w:type="paragraph" w:customStyle="1" w:styleId="11BodyText">
    <w:name w:val="11 BodyText"/>
    <w:basedOn w:val="Normal"/>
    <w:rsid w:val="00DC1451"/>
    <w:pPr>
      <w:spacing w:after="220"/>
      <w:ind w:left="1298"/>
    </w:pPr>
    <w:rPr>
      <w:rFonts w:ascii="Arial" w:hAnsi="Arial"/>
      <w:sz w:val="22"/>
    </w:rPr>
  </w:style>
  <w:style w:type="paragraph" w:customStyle="1" w:styleId="table">
    <w:name w:val="table"/>
    <w:basedOn w:val="text"/>
    <w:next w:val="text"/>
    <w:rsid w:val="00DC1451"/>
    <w:pPr>
      <w:spacing w:after="0"/>
      <w:jc w:val="center"/>
    </w:pPr>
    <w:rPr>
      <w:sz w:val="20"/>
    </w:rPr>
  </w:style>
  <w:style w:type="paragraph" w:styleId="Caption">
    <w:name w:val="caption"/>
    <w:aliases w:val="cap"/>
    <w:basedOn w:val="Normal"/>
    <w:next w:val="Normal"/>
    <w:qFormat/>
    <w:rsid w:val="00DC1451"/>
    <w:pPr>
      <w:spacing w:before="120" w:after="120"/>
    </w:pPr>
    <w:rPr>
      <w:b/>
      <w:bCs/>
    </w:rPr>
  </w:style>
  <w:style w:type="paragraph" w:customStyle="1" w:styleId="bodyCharCharChar">
    <w:name w:val="body Char Char Char"/>
    <w:basedOn w:val="Normal"/>
    <w:rsid w:val="00DC1451"/>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DC1451"/>
    <w:pPr>
      <w:spacing w:after="120"/>
      <w:jc w:val="both"/>
    </w:pPr>
    <w:rPr>
      <w:rFonts w:ascii="Times" w:hAnsi="Times"/>
      <w:szCs w:val="24"/>
    </w:rPr>
  </w:style>
  <w:style w:type="paragraph" w:styleId="BodyText2">
    <w:name w:val="Body Text 2"/>
    <w:basedOn w:val="Normal"/>
    <w:rsid w:val="00DC1451"/>
    <w:pPr>
      <w:tabs>
        <w:tab w:val="left" w:pos="1985"/>
      </w:tabs>
      <w:spacing w:after="0"/>
      <w:jc w:val="both"/>
    </w:pPr>
    <w:rPr>
      <w:rFonts w:ascii="Arial" w:hAnsi="Arial"/>
      <w:sz w:val="22"/>
    </w:rPr>
  </w:style>
  <w:style w:type="character" w:customStyle="1" w:styleId="Heading1Char">
    <w:name w:val="Heading 1 Char"/>
    <w:rsid w:val="00DC1451"/>
    <w:rPr>
      <w:rFonts w:ascii="Arial" w:hAnsi="Arial"/>
      <w:sz w:val="36"/>
      <w:lang w:val="en-GB" w:eastAsia="en-US" w:bidi="ar-SA"/>
    </w:rPr>
  </w:style>
  <w:style w:type="paragraph" w:customStyle="1" w:styleId="body">
    <w:name w:val="body"/>
    <w:basedOn w:val="Normal"/>
    <w:rsid w:val="00DC1451"/>
    <w:pPr>
      <w:tabs>
        <w:tab w:val="left" w:pos="2160"/>
      </w:tabs>
      <w:spacing w:before="120" w:after="120" w:line="280" w:lineRule="atLeast"/>
      <w:jc w:val="both"/>
    </w:pPr>
    <w:rPr>
      <w:rFonts w:ascii="New York" w:hAnsi="New York"/>
      <w:sz w:val="24"/>
    </w:rPr>
  </w:style>
  <w:style w:type="table" w:styleId="TableGrid">
    <w:name w:val="Table Grid"/>
    <w:basedOn w:val="TableNormal"/>
    <w:rsid w:val="00DC1451"/>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DC1451"/>
  </w:style>
  <w:style w:type="character" w:styleId="CommentReference">
    <w:name w:val="annotation reference"/>
    <w:uiPriority w:val="99"/>
    <w:semiHidden/>
    <w:rsid w:val="00DC1451"/>
    <w:rPr>
      <w:sz w:val="16"/>
      <w:szCs w:val="16"/>
    </w:rPr>
  </w:style>
  <w:style w:type="paragraph" w:styleId="CommentText">
    <w:name w:val="annotation text"/>
    <w:basedOn w:val="Normal"/>
    <w:link w:val="CommentTextChar"/>
    <w:uiPriority w:val="99"/>
    <w:rsid w:val="00DC1451"/>
    <w:rPr>
      <w:lang w:eastAsia="x-none"/>
    </w:rPr>
  </w:style>
  <w:style w:type="paragraph" w:styleId="CommentSubject">
    <w:name w:val="annotation subject"/>
    <w:basedOn w:val="CommentText"/>
    <w:next w:val="CommentText"/>
    <w:semiHidden/>
    <w:rsid w:val="00DC1451"/>
    <w:rPr>
      <w:b/>
      <w:bCs/>
    </w:rPr>
  </w:style>
  <w:style w:type="paragraph" w:styleId="BalloonText">
    <w:name w:val="Balloon Text"/>
    <w:basedOn w:val="Normal"/>
    <w:semiHidden/>
    <w:rsid w:val="00DC1451"/>
    <w:rPr>
      <w:rFonts w:ascii="Tahoma" w:hAnsi="Tahoma" w:cs="Tahoma"/>
      <w:sz w:val="16"/>
      <w:szCs w:val="16"/>
    </w:rPr>
  </w:style>
  <w:style w:type="paragraph" w:customStyle="1" w:styleId="CRCoverPage">
    <w:name w:val="CR Cover Page"/>
    <w:rsid w:val="00DC1451"/>
    <w:pPr>
      <w:spacing w:after="120"/>
    </w:pPr>
    <w:rPr>
      <w:rFonts w:ascii="Arial" w:eastAsia="MS Mincho" w:hAnsi="Arial"/>
      <w:lang w:val="en-GB" w:eastAsia="en-US"/>
    </w:rPr>
  </w:style>
  <w:style w:type="character" w:customStyle="1" w:styleId="Heading1Char1">
    <w:name w:val="Heading 1 Char1"/>
    <w:link w:val="Heading1"/>
    <w:rsid w:val="00DC1451"/>
    <w:rPr>
      <w:rFonts w:ascii="Arial" w:hAnsi="Arial"/>
      <w:sz w:val="36"/>
      <w:lang w:val="en-GB" w:eastAsia="en-US"/>
    </w:rPr>
  </w:style>
  <w:style w:type="character" w:customStyle="1" w:styleId="Heading2Char">
    <w:name w:val="Heading 2 Char"/>
    <w:link w:val="Heading2"/>
    <w:rsid w:val="00DC1451"/>
    <w:rPr>
      <w:rFonts w:ascii="Arial" w:hAnsi="Arial"/>
      <w:sz w:val="32"/>
      <w:lang w:val="en-GB" w:eastAsia="en-US"/>
    </w:rPr>
  </w:style>
  <w:style w:type="character" w:customStyle="1" w:styleId="Heading3Char">
    <w:name w:val="Heading 3 Char"/>
    <w:link w:val="Heading3"/>
    <w:rsid w:val="00DC1451"/>
    <w:rPr>
      <w:rFonts w:ascii="Arial" w:hAnsi="Arial"/>
      <w:sz w:val="28"/>
      <w:lang w:val="en-GB" w:eastAsia="en-US"/>
    </w:rPr>
  </w:style>
  <w:style w:type="character" w:customStyle="1" w:styleId="Heading4Char">
    <w:name w:val="Heading 4 Char"/>
    <w:aliases w:val="h4 Char"/>
    <w:link w:val="Heading4"/>
    <w:rsid w:val="00DC1451"/>
    <w:rPr>
      <w:rFonts w:ascii="Arial" w:hAnsi="Arial"/>
      <w:sz w:val="24"/>
      <w:lang w:val="en-GB" w:eastAsia="en-US"/>
    </w:rPr>
  </w:style>
  <w:style w:type="character" w:customStyle="1" w:styleId="Heading5Char">
    <w:name w:val="Heading 5 Char"/>
    <w:link w:val="Heading5"/>
    <w:rsid w:val="00DC1451"/>
    <w:rPr>
      <w:rFonts w:ascii="Arial" w:hAnsi="Arial"/>
      <w:sz w:val="22"/>
      <w:lang w:val="en-GB" w:eastAsia="en-US"/>
    </w:rPr>
  </w:style>
  <w:style w:type="character" w:customStyle="1" w:styleId="CharChar3">
    <w:name w:val="Char Char3"/>
    <w:rsid w:val="00DC1451"/>
    <w:rPr>
      <w:rFonts w:ascii="Arial" w:hAnsi="Arial"/>
      <w:sz w:val="36"/>
      <w:lang w:val="en-GB" w:eastAsia="en-US" w:bidi="ar-SA"/>
    </w:rPr>
  </w:style>
  <w:style w:type="character" w:customStyle="1" w:styleId="CharChar2">
    <w:name w:val="Char Char2"/>
    <w:rsid w:val="00DC1451"/>
    <w:rPr>
      <w:rFonts w:ascii="Arial" w:hAnsi="Arial"/>
      <w:sz w:val="32"/>
      <w:lang w:val="en-GB" w:eastAsia="en-US" w:bidi="ar-SA"/>
    </w:rPr>
  </w:style>
  <w:style w:type="character" w:customStyle="1" w:styleId="CharChar1">
    <w:name w:val="Char Char1"/>
    <w:rsid w:val="00DC1451"/>
    <w:rPr>
      <w:rFonts w:ascii="Arial" w:hAnsi="Arial"/>
      <w:sz w:val="28"/>
      <w:lang w:val="en-GB" w:eastAsia="en-US" w:bidi="ar-SA"/>
    </w:rPr>
  </w:style>
  <w:style w:type="character" w:customStyle="1" w:styleId="h4CharChar">
    <w:name w:val="h4 Char Char"/>
    <w:rsid w:val="00DC1451"/>
    <w:rPr>
      <w:rFonts w:ascii="Arial" w:hAnsi="Arial"/>
      <w:sz w:val="24"/>
      <w:lang w:val="en-GB" w:eastAsia="en-US" w:bidi="ar-SA"/>
    </w:rPr>
  </w:style>
  <w:style w:type="character" w:customStyle="1" w:styleId="CharChar">
    <w:name w:val="Char Char"/>
    <w:rsid w:val="00DC1451"/>
    <w:rPr>
      <w:rFonts w:ascii="Arial" w:hAnsi="Arial"/>
      <w:sz w:val="22"/>
      <w:lang w:val="en-GB" w:eastAsia="en-US" w:bidi="ar-SA"/>
    </w:rPr>
  </w:style>
  <w:style w:type="paragraph" w:styleId="ListParagraph">
    <w:name w:val="List Paragraph"/>
    <w:basedOn w:val="Normal"/>
    <w:uiPriority w:val="34"/>
    <w:qFormat/>
    <w:rsid w:val="00DC1451"/>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DC1451"/>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DC1451"/>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DC1451"/>
    <w:rPr>
      <w:rFonts w:ascii="Cambria" w:eastAsia="Times New Roman" w:hAnsi="Cambria"/>
      <w:sz w:val="24"/>
      <w:szCs w:val="24"/>
      <w:lang w:eastAsia="x-none"/>
    </w:rPr>
  </w:style>
  <w:style w:type="paragraph" w:styleId="Revision">
    <w:name w:val="Revision"/>
    <w:hidden/>
    <w:uiPriority w:val="99"/>
    <w:semiHidden/>
    <w:rsid w:val="00DC1451"/>
    <w:rPr>
      <w:rFonts w:ascii="Times New Roman" w:hAnsi="Times New Roman"/>
      <w:lang w:val="en-GB" w:eastAsia="en-US"/>
    </w:rPr>
  </w:style>
  <w:style w:type="paragraph" w:styleId="NormalWeb">
    <w:name w:val="Normal (Web)"/>
    <w:basedOn w:val="Normal"/>
    <w:uiPriority w:val="99"/>
    <w:unhideWhenUsed/>
    <w:rsid w:val="00DC1451"/>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DC1451"/>
    <w:rPr>
      <w:rFonts w:ascii="Times New Roman" w:hAnsi="Times New Roman"/>
      <w:lang w:eastAsia="x-none"/>
    </w:rPr>
  </w:style>
  <w:style w:type="character" w:styleId="PlaceholderText">
    <w:name w:val="Placeholder Text"/>
    <w:uiPriority w:val="99"/>
    <w:semiHidden/>
    <w:rsid w:val="00DC1451"/>
    <w:rPr>
      <w:color w:val="808080"/>
    </w:rPr>
  </w:style>
  <w:style w:type="character" w:styleId="Hyperlink">
    <w:name w:val="Hyperlink"/>
    <w:rsid w:val="00DC1451"/>
    <w:rPr>
      <w:color w:val="0000FF"/>
      <w:u w:val="single"/>
    </w:rPr>
  </w:style>
  <w:style w:type="character" w:styleId="FollowedHyperlink">
    <w:name w:val="FollowedHyperlink"/>
    <w:rsid w:val="00DC1451"/>
    <w:rPr>
      <w:color w:val="800080"/>
      <w:u w:val="single"/>
    </w:rPr>
  </w:style>
  <w:style w:type="table" w:styleId="DarkList-Accent6">
    <w:name w:val="Dark List Accent 6"/>
    <w:basedOn w:val="TableNormal"/>
    <w:uiPriority w:val="70"/>
    <w:rsid w:val="00DC1451"/>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DC1451"/>
    <w:rPr>
      <w:rFonts w:ascii="Arial" w:hAnsi="Arial"/>
      <w:b/>
      <w:i/>
      <w:noProof/>
      <w:sz w:val="18"/>
      <w:lang w:eastAsia="en-US"/>
    </w:rPr>
  </w:style>
  <w:style w:type="paragraph" w:customStyle="1" w:styleId="Doc-text2">
    <w:name w:val="Doc-text2"/>
    <w:basedOn w:val="Normal"/>
    <w:link w:val="Doc-text2Char"/>
    <w:qFormat/>
    <w:rsid w:val="00DC145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C1451"/>
    <w:rPr>
      <w:rFonts w:ascii="Arial" w:eastAsia="MS Mincho" w:hAnsi="Arial"/>
      <w:szCs w:val="24"/>
      <w:lang w:eastAsia="en-GB"/>
    </w:rPr>
  </w:style>
  <w:style w:type="character" w:customStyle="1" w:styleId="TALCar">
    <w:name w:val="TAL Car"/>
    <w:rsid w:val="00DC1451"/>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8E55DC75492444FE9F5684E6DFBCFF25"/>
        <w:category>
          <w:name w:val="General"/>
          <w:gallery w:val="placeholder"/>
        </w:category>
        <w:types>
          <w:type w:val="bbPlcHdr"/>
        </w:types>
        <w:behaviors>
          <w:behavior w:val="content"/>
        </w:behaviors>
        <w:guid w:val="{33E978E0-5FC5-4AB5-8C50-79BC7193F1E8}"/>
      </w:docPartPr>
      <w:docPartBody>
        <w:p w:rsidR="00A06413" w:rsidRDefault="001824B7">
          <w:pPr>
            <w:pStyle w:val="8E55DC75492444FE9F5684E6DFBCFF25"/>
          </w:pPr>
          <w:r w:rsidRPr="00831010">
            <w:rPr>
              <w:rStyle w:val="PlaceholderText"/>
            </w:rPr>
            <w:t>[Keywords]</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1824B7"/>
    <w:rsid w:val="001F5992"/>
    <w:rsid w:val="0025221E"/>
    <w:rsid w:val="00321E54"/>
    <w:rsid w:val="0048152C"/>
    <w:rsid w:val="00821D80"/>
    <w:rsid w:val="00A06413"/>
    <w:rsid w:val="00B51BF0"/>
    <w:rsid w:val="00BC1075"/>
    <w:rsid w:val="00DE62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01651-F516-416B-8296-E2B9B2E54015}">
  <ds:schemaRefs>
    <ds:schemaRef ds:uri="http://schemas.microsoft.com/sharepoint/v3/contenttype/forms"/>
  </ds:schemaRefs>
</ds:datastoreItem>
</file>

<file path=customXml/itemProps2.xml><?xml version="1.0" encoding="utf-8"?>
<ds:datastoreItem xmlns:ds="http://schemas.openxmlformats.org/officeDocument/2006/customXml" ds:itemID="{FE4D8F2F-5F25-4B91-9DD6-4AED315AF0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3824064-84CC-4AD8-9D14-B52165950064}">
  <ds:schemaRefs>
    <ds:schemaRef ds:uri="http://schemas.openxmlformats.org/officeDocument/2006/bibliography"/>
  </ds:schemaRefs>
</ds:datastoreItem>
</file>

<file path=customXml/itemProps5.xml><?xml version="1.0" encoding="utf-8"?>
<ds:datastoreItem xmlns:ds="http://schemas.openxmlformats.org/officeDocument/2006/customXml" ds:itemID="{DFAB461C-D2CB-42E0-A160-E796EA165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1568</TotalTime>
  <Pages>1</Pages>
  <Words>1901</Words>
  <Characters>10839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NR PBCH Structure</vt:lpstr>
    </vt:vector>
  </TitlesOfParts>
  <Company>Intel</Company>
  <LinksUpToDate>false</LinksUpToDate>
  <CharactersWithSpaces>12715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PBCH Structure</dc:title>
  <dc:subject>R1-1702181</dc:subject>
  <dc:creator>Lee, Daewon</dc:creator>
  <cp:keywords>8.1.1.2.1</cp:keywords>
  <dc:description>Athens, Greece 13th - 17th February 2017</dc:description>
  <cp:lastModifiedBy>Lee, Daewon</cp:lastModifiedBy>
  <cp:revision>92</cp:revision>
  <cp:lastPrinted>2011-11-09T22:49:00Z</cp:lastPrinted>
  <dcterms:created xsi:type="dcterms:W3CDTF">2017-01-02T18:22:00Z</dcterms:created>
  <dcterms:modified xsi:type="dcterms:W3CDTF">2017-02-07T07:01:00Z</dcterms:modified>
  <cp:category>RAN1 #88</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y fmtid="{D5CDD505-2E9C-101B-9397-08002B2CF9AE}" pid="9" name="ContentTypeId">
    <vt:lpwstr>0x01010058DDEB47312E4967BFC1576B96E8C3D40039B5EFFB71B84E46BCEF74BDDA92E4BD</vt:lpwstr>
  </property>
</Properties>
</file>